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8755" w14:textId="77777777" w:rsidR="00E53469" w:rsidRPr="00E53469" w:rsidRDefault="00E53469" w:rsidP="002C24C3">
      <w:pPr>
        <w:pStyle w:val="Heading1"/>
      </w:pPr>
      <w:r w:rsidRPr="002C24C3">
        <w:t>Purpose</w:t>
      </w:r>
    </w:p>
    <w:p w14:paraId="5210C78F" w14:textId="1942F8E2" w:rsidR="008928A8" w:rsidRDefault="008928A8" w:rsidP="008928A8">
      <w:pPr>
        <w:rPr>
          <w:rFonts w:ascii="Calibri" w:hAnsi="Calibri" w:cs="Calibri"/>
        </w:rPr>
      </w:pPr>
      <w:r>
        <w:rPr>
          <w:rFonts w:ascii="Calibri" w:hAnsi="Calibri" w:cs="Calibri"/>
        </w:rPr>
        <w:t xml:space="preserve">The objective of this program is to prevent personal injury as well as property damage at CURI by providing specific protocol regarding Hot Work and to ensure that each employee is adequately trained and fully aware of safety procedures associated with Hot Work. CURI is dedicated to the protection of our employees and property from loss.  It is our responsibility to provide a safe working environment, and the employees share the responsibility of working safely.  </w:t>
      </w:r>
      <w:r>
        <w:rPr>
          <w:rStyle w:val="gt-icon-text1"/>
          <w:rFonts w:cs="Arial"/>
          <w:i/>
          <w:vanish/>
          <w:color w:val="FF0000"/>
          <w:sz w:val="20"/>
        </w:rPr>
        <w:t>Listen</w:t>
      </w:r>
    </w:p>
    <w:p w14:paraId="029277C4" w14:textId="77777777" w:rsidR="00E53469" w:rsidRPr="00E53469" w:rsidRDefault="00E53469" w:rsidP="002C24C3">
      <w:pPr>
        <w:pStyle w:val="Heading1"/>
      </w:pPr>
      <w:r w:rsidRPr="002C24C3">
        <w:t>Scope</w:t>
      </w:r>
      <w:r w:rsidRPr="00E53469">
        <w:t xml:space="preserve">  </w:t>
      </w:r>
    </w:p>
    <w:p w14:paraId="14AE52BA" w14:textId="2A492B03" w:rsidR="008928A8" w:rsidRDefault="008928A8" w:rsidP="008928A8">
      <w:pPr>
        <w:rPr>
          <w:rFonts w:ascii="Calibri" w:hAnsi="Calibri" w:cs="Calibri"/>
        </w:rPr>
      </w:pPr>
      <w:r>
        <w:rPr>
          <w:rFonts w:ascii="Calibri" w:hAnsi="Calibri" w:cs="Calibri"/>
        </w:rPr>
        <w:t xml:space="preserve">Any task that creates an ignition source has potential to create a fire.  This may result in damage and loss. </w:t>
      </w:r>
      <w:r>
        <w:rPr>
          <w:rFonts w:ascii="Calibri" w:hAnsi="Calibri" w:cs="Calibri"/>
          <w:bCs/>
          <w:szCs w:val="28"/>
        </w:rPr>
        <w:t xml:space="preserve">This program is applicable to hot work that is conducted </w:t>
      </w:r>
      <w:r>
        <w:rPr>
          <w:rFonts w:ascii="Calibri" w:hAnsi="Calibri" w:cs="Calibri"/>
          <w:b/>
          <w:bCs/>
          <w:szCs w:val="28"/>
          <w:u w:val="single"/>
        </w:rPr>
        <w:t>outside</w:t>
      </w:r>
      <w:r>
        <w:rPr>
          <w:rFonts w:ascii="Calibri" w:hAnsi="Calibri" w:cs="Calibri"/>
          <w:bCs/>
          <w:szCs w:val="28"/>
        </w:rPr>
        <w:t xml:space="preserve"> of designated hot work areas which requires authorization and a permit to perform. </w:t>
      </w:r>
      <w:r>
        <w:rPr>
          <w:rFonts w:ascii="Calibri" w:hAnsi="Calibri" w:cs="Calibri"/>
          <w:szCs w:val="28"/>
        </w:rPr>
        <w:t>It</w:t>
      </w:r>
      <w:r>
        <w:rPr>
          <w:rFonts w:ascii="Calibri" w:hAnsi="Calibri" w:cs="Calibri"/>
        </w:rPr>
        <w:t xml:space="preserve"> covers any ignition source </w:t>
      </w:r>
      <w:proofErr w:type="gramStart"/>
      <w:r>
        <w:rPr>
          <w:rFonts w:ascii="Calibri" w:hAnsi="Calibri" w:cs="Calibri"/>
        </w:rPr>
        <w:t>including:</w:t>
      </w:r>
      <w:proofErr w:type="gramEnd"/>
      <w:r>
        <w:rPr>
          <w:rFonts w:ascii="Calibri" w:hAnsi="Calibri" w:cs="Calibri"/>
        </w:rPr>
        <w:t xml:space="preserve"> welding, brazing, torch soldering, grinding, powder-actuated tools, hot riveting and all other similar applications producing a spark, flame, or heat.  </w:t>
      </w:r>
    </w:p>
    <w:p w14:paraId="7C9A193D" w14:textId="77777777" w:rsidR="008928A8" w:rsidRDefault="008928A8" w:rsidP="008928A8">
      <w:pPr>
        <w:rPr>
          <w:rFonts w:ascii="Calibri" w:hAnsi="Calibri" w:cs="Calibri"/>
        </w:rPr>
      </w:pPr>
    </w:p>
    <w:p w14:paraId="24E24153" w14:textId="77777777" w:rsidR="00E53469" w:rsidRPr="00E53469" w:rsidRDefault="00E53469" w:rsidP="002C24C3">
      <w:pPr>
        <w:pStyle w:val="Heading2"/>
      </w:pPr>
      <w:r w:rsidRPr="00E53469">
        <w:t>Reference Standard</w:t>
      </w:r>
    </w:p>
    <w:p w14:paraId="16F0C175" w14:textId="1AD4C481" w:rsidR="00E53469" w:rsidRPr="00E53469" w:rsidRDefault="00E53469" w:rsidP="007738AB">
      <w:pPr>
        <w:ind w:firstLine="360"/>
        <w:rPr>
          <w:rFonts w:ascii="Calibri" w:hAnsi="Calibri" w:cs="Calibri"/>
        </w:rPr>
      </w:pPr>
      <w:r w:rsidRPr="00E53469">
        <w:rPr>
          <w:rFonts w:ascii="Calibri" w:hAnsi="Calibri" w:cs="Calibri"/>
        </w:rPr>
        <w:t>Occupational Safety and Health Administration: 1910.</w:t>
      </w:r>
      <w:r w:rsidR="002C24C3">
        <w:rPr>
          <w:rFonts w:ascii="Calibri" w:hAnsi="Calibri" w:cs="Calibri"/>
        </w:rPr>
        <w:t>252</w:t>
      </w:r>
    </w:p>
    <w:p w14:paraId="2D3A50BD" w14:textId="77777777" w:rsidR="00E53469" w:rsidRPr="00E53469" w:rsidRDefault="00E53469" w:rsidP="002C24C3">
      <w:pPr>
        <w:pStyle w:val="Heading1"/>
        <w:rPr>
          <w:rFonts w:eastAsia="Times New Roman"/>
          <w:lang w:eastAsia="ja-JP"/>
        </w:rPr>
      </w:pPr>
      <w:r w:rsidRPr="002C24C3">
        <w:t>Responsibilities</w:t>
      </w:r>
    </w:p>
    <w:p w14:paraId="31383515" w14:textId="6B88F39B" w:rsidR="00E53469" w:rsidRDefault="00E53469" w:rsidP="00E53469">
      <w:pPr>
        <w:spacing w:after="0" w:line="240" w:lineRule="atLeast"/>
        <w:ind w:left="1440" w:firstLine="720"/>
        <w:rPr>
          <w:rFonts w:ascii="Calibri" w:eastAsia="Times New Roman" w:hAnsi="Calibri" w:cs="Calibri"/>
          <w:sz w:val="24"/>
          <w:szCs w:val="20"/>
          <w:lang w:eastAsia="ja-JP"/>
        </w:rPr>
      </w:pPr>
    </w:p>
    <w:p w14:paraId="4EDC6942" w14:textId="45D47C53" w:rsidR="008928A8" w:rsidRPr="008928A8" w:rsidRDefault="00756319" w:rsidP="008928A8">
      <w:pPr>
        <w:rPr>
          <w:rFonts w:eastAsia="Times New Roman"/>
          <w:lang w:eastAsia="ja-JP"/>
        </w:rPr>
      </w:pPr>
      <w:r>
        <w:rPr>
          <w:rFonts w:eastAsia="Times New Roman"/>
          <w:lang w:eastAsia="ja-JP"/>
        </w:rPr>
        <w:t xml:space="preserve">Refer to the definitions of the Hot Work Leader, Hot Work Operator and Fire Watch for specific responsibilities of </w:t>
      </w:r>
      <w:proofErr w:type="gramStart"/>
      <w:r>
        <w:rPr>
          <w:rFonts w:eastAsia="Times New Roman"/>
          <w:lang w:eastAsia="ja-JP"/>
        </w:rPr>
        <w:t>each individual</w:t>
      </w:r>
      <w:proofErr w:type="gramEnd"/>
      <w:r>
        <w:rPr>
          <w:rFonts w:eastAsia="Times New Roman"/>
          <w:lang w:eastAsia="ja-JP"/>
        </w:rPr>
        <w:t xml:space="preserve">.  </w:t>
      </w:r>
    </w:p>
    <w:p w14:paraId="78BEDD6B" w14:textId="20389C71" w:rsidR="008928A8" w:rsidRPr="008928A8" w:rsidRDefault="007738AB" w:rsidP="002C24C3">
      <w:pPr>
        <w:pStyle w:val="Heading1"/>
        <w:rPr>
          <w:rFonts w:eastAsia="Times New Roman"/>
          <w:lang w:eastAsia="ja-JP"/>
        </w:rPr>
      </w:pPr>
      <w:r w:rsidRPr="002C24C3">
        <w:t>Definitions</w:t>
      </w:r>
    </w:p>
    <w:p w14:paraId="4D4146E9" w14:textId="06898EDB" w:rsidR="008928A8" w:rsidRPr="008928A8" w:rsidRDefault="008928A8" w:rsidP="008928A8">
      <w:pPr>
        <w:pStyle w:val="Heading2"/>
        <w:rPr>
          <w:rFonts w:eastAsia="Times New Roman"/>
          <w:lang w:eastAsia="ja-JP"/>
        </w:rPr>
      </w:pPr>
      <w:r w:rsidRPr="008928A8">
        <w:rPr>
          <w:rFonts w:eastAsia="Times New Roman"/>
          <w:lang w:eastAsia="ja-JP"/>
        </w:rPr>
        <w:t xml:space="preserve">Hot Work Leader (HWL) </w:t>
      </w:r>
    </w:p>
    <w:p w14:paraId="31F313E2" w14:textId="77777777" w:rsidR="008928A8" w:rsidRDefault="008928A8" w:rsidP="008928A8">
      <w:pPr>
        <w:spacing w:after="0" w:line="240" w:lineRule="atLeast"/>
        <w:rPr>
          <w:rFonts w:eastAsia="Times New Roman"/>
          <w:lang w:eastAsia="ja-JP"/>
        </w:rPr>
      </w:pPr>
    </w:p>
    <w:p w14:paraId="20EE9CFF" w14:textId="53BA484B" w:rsidR="008928A8" w:rsidRDefault="00756319" w:rsidP="00756319">
      <w:pPr>
        <w:spacing w:after="0" w:line="240" w:lineRule="atLeast"/>
        <w:ind w:left="360"/>
        <w:rPr>
          <w:rFonts w:eastAsia="Times New Roman"/>
          <w:lang w:eastAsia="ja-JP"/>
        </w:rPr>
      </w:pPr>
      <w:r>
        <w:rPr>
          <w:rFonts w:eastAsia="Times New Roman"/>
          <w:lang w:eastAsia="ja-JP"/>
        </w:rPr>
        <w:t>To be competent and be a Hot Work Leader (HWL) the employee must be trained in the Hot Work procedure.</w:t>
      </w:r>
      <w:r w:rsidRPr="00756319">
        <w:rPr>
          <w:rFonts w:eastAsia="Times New Roman"/>
          <w:lang w:eastAsia="ja-JP"/>
        </w:rPr>
        <w:t xml:space="preserve"> </w:t>
      </w:r>
      <w:r w:rsidRPr="008928A8">
        <w:rPr>
          <w:rFonts w:eastAsia="Times New Roman"/>
          <w:lang w:eastAsia="ja-JP"/>
        </w:rPr>
        <w:t>The HWL is responsible for the safe operations of hot work activity under their supervision.</w:t>
      </w:r>
      <w:r>
        <w:rPr>
          <w:rFonts w:eastAsia="Times New Roman"/>
          <w:lang w:eastAsia="ja-JP"/>
        </w:rPr>
        <w:t xml:space="preserve">    </w:t>
      </w:r>
    </w:p>
    <w:p w14:paraId="38E06453" w14:textId="77777777" w:rsidR="008928A8" w:rsidRDefault="008928A8" w:rsidP="008928A8">
      <w:pPr>
        <w:spacing w:after="0" w:line="240" w:lineRule="atLeast"/>
        <w:ind w:firstLine="720"/>
        <w:rPr>
          <w:rFonts w:eastAsia="Times New Roman"/>
          <w:lang w:eastAsia="ja-JP"/>
        </w:rPr>
      </w:pPr>
    </w:p>
    <w:p w14:paraId="5B5DD38A" w14:textId="6C66A54D" w:rsidR="008928A8" w:rsidRPr="008928A8" w:rsidRDefault="008928A8" w:rsidP="008928A8">
      <w:pPr>
        <w:spacing w:after="0" w:line="240" w:lineRule="atLeast"/>
        <w:ind w:firstLine="720"/>
        <w:rPr>
          <w:rFonts w:eastAsia="Times New Roman"/>
          <w:lang w:eastAsia="ja-JP"/>
        </w:rPr>
      </w:pPr>
      <w:r w:rsidRPr="008928A8">
        <w:rPr>
          <w:rFonts w:eastAsia="Times New Roman"/>
          <w:lang w:eastAsia="ja-JP"/>
        </w:rPr>
        <w:t>These duties include:</w:t>
      </w:r>
    </w:p>
    <w:p w14:paraId="6C506C28" w14:textId="6A866D5F" w:rsidR="008928A8" w:rsidRDefault="008928A8" w:rsidP="008928A8">
      <w:pPr>
        <w:spacing w:after="0" w:line="240" w:lineRule="atLeast"/>
        <w:rPr>
          <w:rFonts w:eastAsia="Times New Roman"/>
          <w:lang w:eastAsia="ja-JP"/>
        </w:rPr>
      </w:pPr>
    </w:p>
    <w:p w14:paraId="16518691" w14:textId="77777777" w:rsidR="008928A8" w:rsidRPr="008928A8" w:rsidRDefault="008928A8" w:rsidP="008928A8">
      <w:pPr>
        <w:pStyle w:val="ListParagraph"/>
        <w:numPr>
          <w:ilvl w:val="0"/>
          <w:numId w:val="15"/>
        </w:numPr>
        <w:rPr>
          <w:rFonts w:eastAsia="Times New Roman"/>
          <w:lang w:eastAsia="ja-JP"/>
        </w:rPr>
      </w:pPr>
      <w:bookmarkStart w:id="0" w:name="_Toc320712929"/>
      <w:r w:rsidRPr="008928A8">
        <w:rPr>
          <w:rFonts w:eastAsia="Times New Roman"/>
          <w:lang w:eastAsia="ja-JP"/>
        </w:rPr>
        <w:t>Establish permissible areas for hot work.</w:t>
      </w:r>
      <w:bookmarkEnd w:id="0"/>
    </w:p>
    <w:p w14:paraId="50A41F13" w14:textId="77777777" w:rsidR="008928A8" w:rsidRPr="008928A8" w:rsidRDefault="008928A8" w:rsidP="008928A8">
      <w:pPr>
        <w:pStyle w:val="ListParagraph"/>
        <w:numPr>
          <w:ilvl w:val="0"/>
          <w:numId w:val="15"/>
        </w:numPr>
        <w:rPr>
          <w:rFonts w:eastAsia="Times New Roman"/>
          <w:lang w:eastAsia="ja-JP"/>
        </w:rPr>
      </w:pPr>
      <w:bookmarkStart w:id="1" w:name="_Toc320712930"/>
      <w:r w:rsidRPr="008928A8">
        <w:rPr>
          <w:rFonts w:eastAsia="Times New Roman"/>
          <w:lang w:eastAsia="ja-JP"/>
        </w:rPr>
        <w:t xml:space="preserve">Ensure that only approved apparatus, such as torches, manifolds, </w:t>
      </w:r>
      <w:proofErr w:type="gramStart"/>
      <w:r w:rsidRPr="008928A8">
        <w:rPr>
          <w:rFonts w:eastAsia="Times New Roman"/>
          <w:lang w:eastAsia="ja-JP"/>
        </w:rPr>
        <w:t>regulators</w:t>
      </w:r>
      <w:proofErr w:type="gramEnd"/>
      <w:r w:rsidRPr="008928A8">
        <w:rPr>
          <w:rFonts w:eastAsia="Times New Roman"/>
          <w:lang w:eastAsia="ja-JP"/>
        </w:rPr>
        <w:t xml:space="preserve"> and pressure reducing valves, are used.</w:t>
      </w:r>
      <w:bookmarkEnd w:id="1"/>
    </w:p>
    <w:p w14:paraId="4348F0CC" w14:textId="77777777" w:rsidR="008928A8" w:rsidRPr="008928A8" w:rsidRDefault="008928A8" w:rsidP="008928A8">
      <w:pPr>
        <w:pStyle w:val="ListParagraph"/>
        <w:numPr>
          <w:ilvl w:val="0"/>
          <w:numId w:val="15"/>
        </w:numPr>
        <w:rPr>
          <w:rFonts w:eastAsia="Times New Roman"/>
          <w:lang w:eastAsia="ja-JP"/>
        </w:rPr>
      </w:pPr>
      <w:bookmarkStart w:id="2" w:name="_Toc320712931"/>
      <w:r w:rsidRPr="008928A8">
        <w:rPr>
          <w:rFonts w:eastAsia="Times New Roman"/>
          <w:lang w:eastAsia="ja-JP"/>
        </w:rPr>
        <w:lastRenderedPageBreak/>
        <w:t>Ensure that all individuals involved in the hot work operations are familiar with CURI Hot Work requirements.</w:t>
      </w:r>
      <w:bookmarkEnd w:id="2"/>
      <w:r w:rsidRPr="008928A8">
        <w:rPr>
          <w:rFonts w:eastAsia="Times New Roman"/>
          <w:lang w:eastAsia="ja-JP"/>
        </w:rPr>
        <w:t xml:space="preserve"> </w:t>
      </w:r>
    </w:p>
    <w:p w14:paraId="604A943B" w14:textId="77777777" w:rsidR="008928A8" w:rsidRPr="008928A8" w:rsidRDefault="008928A8" w:rsidP="008928A8">
      <w:pPr>
        <w:pStyle w:val="ListParagraph"/>
        <w:numPr>
          <w:ilvl w:val="0"/>
          <w:numId w:val="15"/>
        </w:numPr>
        <w:rPr>
          <w:rFonts w:eastAsia="Times New Roman"/>
          <w:lang w:eastAsia="ja-JP"/>
        </w:rPr>
      </w:pPr>
      <w:bookmarkStart w:id="3" w:name="_Toc320712932"/>
      <w:r w:rsidRPr="008928A8">
        <w:rPr>
          <w:rFonts w:eastAsia="Times New Roman"/>
          <w:lang w:eastAsia="ja-JP"/>
        </w:rPr>
        <w:t>Ensure that all individuals involved in the hot work operations are trained in the safe operation of their equipment and the safe use of the process. These individuals must have an awareness of the risks involved and understand the emergency procedures in the event of a fire.</w:t>
      </w:r>
      <w:bookmarkEnd w:id="3"/>
    </w:p>
    <w:p w14:paraId="28257846" w14:textId="77777777" w:rsidR="008928A8" w:rsidRPr="008928A8" w:rsidRDefault="008928A8" w:rsidP="008928A8">
      <w:pPr>
        <w:pStyle w:val="ListParagraph"/>
        <w:numPr>
          <w:ilvl w:val="0"/>
          <w:numId w:val="15"/>
        </w:numPr>
        <w:rPr>
          <w:rFonts w:eastAsia="Times New Roman"/>
          <w:lang w:eastAsia="ja-JP"/>
        </w:rPr>
      </w:pPr>
      <w:bookmarkStart w:id="4" w:name="_Toc320712933"/>
      <w:r w:rsidRPr="008928A8">
        <w:rPr>
          <w:rFonts w:eastAsia="Times New Roman"/>
          <w:lang w:eastAsia="ja-JP"/>
        </w:rPr>
        <w:t>Determine site-specific flammable materials, hazardous processes, or other potential fire hazards present or likely to be present in the work location.</w:t>
      </w:r>
      <w:bookmarkEnd w:id="4"/>
    </w:p>
    <w:p w14:paraId="4083CAEE" w14:textId="77777777" w:rsidR="008928A8" w:rsidRPr="008928A8" w:rsidRDefault="008928A8" w:rsidP="008928A8">
      <w:pPr>
        <w:pStyle w:val="ListParagraph"/>
        <w:numPr>
          <w:ilvl w:val="0"/>
          <w:numId w:val="15"/>
        </w:numPr>
        <w:rPr>
          <w:rFonts w:eastAsia="Times New Roman"/>
          <w:lang w:eastAsia="ja-JP"/>
        </w:rPr>
      </w:pPr>
      <w:r w:rsidRPr="008928A8">
        <w:rPr>
          <w:rFonts w:eastAsia="Times New Roman"/>
          <w:lang w:eastAsia="ja-JP"/>
        </w:rPr>
        <w:t>Make periodic inspections of any work using a “blanket permit” to assure fire prevention practices are taking place.</w:t>
      </w:r>
    </w:p>
    <w:p w14:paraId="1B0CDA77" w14:textId="77777777" w:rsidR="008928A8" w:rsidRPr="008928A8" w:rsidRDefault="008928A8" w:rsidP="008928A8">
      <w:pPr>
        <w:pStyle w:val="ListParagraph"/>
        <w:numPr>
          <w:ilvl w:val="0"/>
          <w:numId w:val="15"/>
        </w:numPr>
        <w:rPr>
          <w:rFonts w:eastAsia="Times New Roman"/>
          <w:lang w:eastAsia="ja-JP"/>
        </w:rPr>
      </w:pPr>
      <w:r w:rsidRPr="008928A8">
        <w:rPr>
          <w:rFonts w:eastAsia="Times New Roman"/>
          <w:lang w:eastAsia="ja-JP"/>
        </w:rPr>
        <w:t xml:space="preserve">Ensure </w:t>
      </w:r>
      <w:bookmarkStart w:id="5" w:name="_Toc320712934"/>
      <w:r w:rsidRPr="008928A8">
        <w:rPr>
          <w:rFonts w:eastAsia="Times New Roman"/>
          <w:lang w:eastAsia="ja-JP"/>
        </w:rPr>
        <w:t>combustibles are protected from ignition by the following means:</w:t>
      </w:r>
      <w:bookmarkEnd w:id="5"/>
    </w:p>
    <w:p w14:paraId="5725BE14" w14:textId="77777777" w:rsidR="008928A8" w:rsidRPr="008928A8" w:rsidRDefault="008928A8" w:rsidP="008928A8">
      <w:pPr>
        <w:pStyle w:val="ListParagraph"/>
        <w:numPr>
          <w:ilvl w:val="1"/>
          <w:numId w:val="15"/>
        </w:numPr>
        <w:rPr>
          <w:rFonts w:eastAsia="Times New Roman"/>
          <w:lang w:eastAsia="ja-JP"/>
        </w:rPr>
      </w:pPr>
      <w:bookmarkStart w:id="6" w:name="_Toc320712935"/>
      <w:r w:rsidRPr="008928A8">
        <w:rPr>
          <w:rFonts w:eastAsia="Times New Roman"/>
          <w:lang w:eastAsia="ja-JP"/>
        </w:rPr>
        <w:t>Move the work to a location free from combustibles.</w:t>
      </w:r>
      <w:bookmarkEnd w:id="6"/>
    </w:p>
    <w:p w14:paraId="5DF9DD9B" w14:textId="77777777" w:rsidR="008928A8" w:rsidRPr="008928A8" w:rsidRDefault="008928A8" w:rsidP="008928A8">
      <w:pPr>
        <w:pStyle w:val="ListParagraph"/>
        <w:numPr>
          <w:ilvl w:val="1"/>
          <w:numId w:val="15"/>
        </w:numPr>
        <w:rPr>
          <w:rFonts w:eastAsia="Times New Roman"/>
          <w:lang w:eastAsia="ja-JP"/>
        </w:rPr>
      </w:pPr>
      <w:bookmarkStart w:id="7" w:name="_Toc320712936"/>
      <w:r w:rsidRPr="008928A8">
        <w:rPr>
          <w:rFonts w:eastAsia="Times New Roman"/>
          <w:lang w:eastAsia="ja-JP"/>
        </w:rPr>
        <w:t>If the work cannot be moved, ensure the combustibles are moved to a safe distance or have the combustibles properly shielded against ignition.</w:t>
      </w:r>
      <w:bookmarkEnd w:id="7"/>
    </w:p>
    <w:p w14:paraId="55B76311" w14:textId="77777777" w:rsidR="008928A8" w:rsidRPr="008928A8" w:rsidRDefault="008928A8" w:rsidP="008928A8">
      <w:pPr>
        <w:pStyle w:val="ListParagraph"/>
        <w:numPr>
          <w:ilvl w:val="1"/>
          <w:numId w:val="15"/>
        </w:numPr>
        <w:rPr>
          <w:rFonts w:eastAsia="Times New Roman"/>
          <w:lang w:eastAsia="ja-JP"/>
        </w:rPr>
      </w:pPr>
      <w:bookmarkStart w:id="8" w:name="_Toc320712937"/>
      <w:r w:rsidRPr="008928A8">
        <w:rPr>
          <w:rFonts w:eastAsia="Times New Roman"/>
          <w:lang w:eastAsia="ja-JP"/>
        </w:rPr>
        <w:t>Ensure hot work is scheduled such that operations that could expose flammables or combustibles to ignition do not occur during hot work operations.</w:t>
      </w:r>
      <w:bookmarkEnd w:id="8"/>
    </w:p>
    <w:p w14:paraId="77606242" w14:textId="786A7BCC" w:rsidR="008928A8" w:rsidRPr="008928A8" w:rsidRDefault="008928A8" w:rsidP="008928A8">
      <w:pPr>
        <w:pStyle w:val="ListParagraph"/>
        <w:numPr>
          <w:ilvl w:val="1"/>
          <w:numId w:val="15"/>
        </w:numPr>
        <w:rPr>
          <w:rFonts w:eastAsia="Times New Roman"/>
          <w:lang w:eastAsia="ja-JP"/>
        </w:rPr>
      </w:pPr>
      <w:bookmarkStart w:id="9" w:name="_Toc320712938"/>
      <w:r w:rsidRPr="008928A8">
        <w:rPr>
          <w:rFonts w:eastAsia="Times New Roman"/>
          <w:lang w:eastAsia="ja-JP"/>
        </w:rPr>
        <w:t>If any of these conditions cannot be met, then hot work must not be performed.</w:t>
      </w:r>
      <w:bookmarkEnd w:id="9"/>
    </w:p>
    <w:p w14:paraId="407D2515" w14:textId="77777777" w:rsidR="008928A8" w:rsidRPr="008928A8" w:rsidRDefault="008928A8" w:rsidP="008928A8">
      <w:pPr>
        <w:pStyle w:val="ListParagraph"/>
        <w:numPr>
          <w:ilvl w:val="0"/>
          <w:numId w:val="15"/>
        </w:numPr>
        <w:rPr>
          <w:rFonts w:eastAsia="Times New Roman"/>
          <w:lang w:eastAsia="ja-JP"/>
        </w:rPr>
      </w:pPr>
      <w:bookmarkStart w:id="10" w:name="_Toc320712939"/>
      <w:r w:rsidRPr="008928A8">
        <w:rPr>
          <w:rFonts w:eastAsia="Times New Roman"/>
          <w:lang w:eastAsia="ja-JP"/>
        </w:rPr>
        <w:t>Determine that fire protection and extinguishing equipment are properly located and readily available.</w:t>
      </w:r>
      <w:bookmarkEnd w:id="10"/>
    </w:p>
    <w:p w14:paraId="1C04750B" w14:textId="77777777" w:rsidR="008928A8" w:rsidRPr="008928A8" w:rsidRDefault="008928A8" w:rsidP="008928A8">
      <w:pPr>
        <w:pStyle w:val="ListParagraph"/>
        <w:numPr>
          <w:ilvl w:val="0"/>
          <w:numId w:val="15"/>
        </w:numPr>
        <w:rPr>
          <w:rFonts w:eastAsia="Times New Roman"/>
          <w:lang w:eastAsia="ja-JP"/>
        </w:rPr>
      </w:pPr>
      <w:bookmarkStart w:id="11" w:name="_Toc320712940"/>
      <w:r w:rsidRPr="008928A8">
        <w:rPr>
          <w:rFonts w:eastAsia="Times New Roman"/>
          <w:lang w:eastAsia="ja-JP"/>
        </w:rPr>
        <w:t>Ensure sufficient local exhaust ventilation is provided to prevent accumulation of any smoke and fume.</w:t>
      </w:r>
      <w:bookmarkEnd w:id="11"/>
    </w:p>
    <w:p w14:paraId="720AD560" w14:textId="77777777" w:rsidR="008928A8" w:rsidRPr="008928A8" w:rsidRDefault="008928A8" w:rsidP="008928A8">
      <w:pPr>
        <w:pStyle w:val="ListParagraph"/>
        <w:numPr>
          <w:ilvl w:val="0"/>
          <w:numId w:val="15"/>
        </w:numPr>
        <w:rPr>
          <w:rFonts w:eastAsia="Times New Roman"/>
          <w:lang w:eastAsia="ja-JP"/>
        </w:rPr>
      </w:pPr>
      <w:bookmarkStart w:id="12" w:name="_Toc320712941"/>
      <w:r w:rsidRPr="008928A8">
        <w:rPr>
          <w:rFonts w:eastAsia="Times New Roman"/>
          <w:lang w:eastAsia="ja-JP"/>
        </w:rPr>
        <w:t>Ensure that a fire watch is posted at the site when:</w:t>
      </w:r>
      <w:bookmarkEnd w:id="12"/>
    </w:p>
    <w:p w14:paraId="24A8AE6D" w14:textId="77777777" w:rsidR="008928A8" w:rsidRPr="008928A8" w:rsidRDefault="008928A8" w:rsidP="008928A8">
      <w:pPr>
        <w:pStyle w:val="ListParagraph"/>
        <w:numPr>
          <w:ilvl w:val="1"/>
          <w:numId w:val="15"/>
        </w:numPr>
        <w:rPr>
          <w:rFonts w:eastAsia="Times New Roman"/>
          <w:lang w:eastAsia="ja-JP"/>
        </w:rPr>
      </w:pPr>
      <w:bookmarkStart w:id="13" w:name="_Toc320712942"/>
      <w:r w:rsidRPr="008928A8">
        <w:rPr>
          <w:rFonts w:eastAsia="Times New Roman"/>
          <w:lang w:eastAsia="ja-JP"/>
        </w:rPr>
        <w:t>Hot work is performed in a location where other than a minor fire might develop, or where the following conditions exist.</w:t>
      </w:r>
      <w:bookmarkEnd w:id="13"/>
    </w:p>
    <w:p w14:paraId="76384A76" w14:textId="77777777" w:rsidR="008928A8" w:rsidRPr="008928A8" w:rsidRDefault="008928A8" w:rsidP="008928A8">
      <w:pPr>
        <w:pStyle w:val="ListParagraph"/>
        <w:numPr>
          <w:ilvl w:val="2"/>
          <w:numId w:val="15"/>
        </w:numPr>
        <w:rPr>
          <w:rFonts w:eastAsia="Times New Roman"/>
          <w:lang w:eastAsia="ja-JP"/>
        </w:rPr>
      </w:pPr>
      <w:bookmarkStart w:id="14" w:name="_Toc320712943"/>
      <w:r w:rsidRPr="008928A8">
        <w:rPr>
          <w:rFonts w:eastAsia="Times New Roman"/>
          <w:lang w:eastAsia="ja-JP"/>
        </w:rPr>
        <w:t>Combustible materials in building or contents are closer than 25 ft. to the point of hot work.</w:t>
      </w:r>
      <w:bookmarkEnd w:id="14"/>
    </w:p>
    <w:p w14:paraId="688D79EA" w14:textId="77777777" w:rsidR="008928A8" w:rsidRPr="008928A8" w:rsidRDefault="008928A8" w:rsidP="008928A8">
      <w:pPr>
        <w:pStyle w:val="ListParagraph"/>
        <w:numPr>
          <w:ilvl w:val="2"/>
          <w:numId w:val="15"/>
        </w:numPr>
        <w:rPr>
          <w:rFonts w:eastAsia="Times New Roman"/>
          <w:lang w:eastAsia="ja-JP"/>
        </w:rPr>
      </w:pPr>
      <w:bookmarkStart w:id="15" w:name="_Toc320712944"/>
      <w:r w:rsidRPr="008928A8">
        <w:rPr>
          <w:rFonts w:eastAsia="Times New Roman"/>
          <w:lang w:eastAsia="ja-JP"/>
        </w:rPr>
        <w:t>Combustible materials are more than 25 ft. away but are easily ignited by sparks.</w:t>
      </w:r>
      <w:bookmarkEnd w:id="15"/>
    </w:p>
    <w:p w14:paraId="168AF953" w14:textId="77777777" w:rsidR="008928A8" w:rsidRPr="008928A8" w:rsidRDefault="008928A8" w:rsidP="008928A8">
      <w:pPr>
        <w:pStyle w:val="ListParagraph"/>
        <w:numPr>
          <w:ilvl w:val="2"/>
          <w:numId w:val="15"/>
        </w:numPr>
        <w:rPr>
          <w:rFonts w:eastAsia="Times New Roman"/>
          <w:lang w:eastAsia="ja-JP"/>
        </w:rPr>
      </w:pPr>
      <w:bookmarkStart w:id="16" w:name="_Toc320712945"/>
      <w:r w:rsidRPr="008928A8">
        <w:rPr>
          <w:rFonts w:eastAsia="Times New Roman"/>
          <w:lang w:eastAsia="ja-JP"/>
        </w:rPr>
        <w:t>Wall or floor openings are within 25 feet and expose combustible materials in adjacent areas. This includes combustible materials concealed in walls or floors.</w:t>
      </w:r>
      <w:bookmarkEnd w:id="16"/>
    </w:p>
    <w:p w14:paraId="6C8BAD88" w14:textId="77777777" w:rsidR="008928A8" w:rsidRPr="008928A8" w:rsidRDefault="008928A8" w:rsidP="008928A8">
      <w:pPr>
        <w:pStyle w:val="ListParagraph"/>
        <w:numPr>
          <w:ilvl w:val="2"/>
          <w:numId w:val="15"/>
        </w:numPr>
        <w:rPr>
          <w:rFonts w:eastAsia="Times New Roman"/>
          <w:lang w:eastAsia="ja-JP"/>
        </w:rPr>
      </w:pPr>
      <w:bookmarkStart w:id="17" w:name="_Toc320712946"/>
      <w:r w:rsidRPr="008928A8">
        <w:rPr>
          <w:rFonts w:eastAsia="Times New Roman"/>
          <w:lang w:eastAsia="ja-JP"/>
        </w:rPr>
        <w:t>Combustible materials are adjacent to the opposite side of partitions, walls, ceilings, or roofs and are likely to be ignited.</w:t>
      </w:r>
      <w:bookmarkEnd w:id="17"/>
    </w:p>
    <w:p w14:paraId="2C7FD3CB" w14:textId="77777777" w:rsidR="008928A8" w:rsidRPr="008928A8" w:rsidRDefault="008928A8" w:rsidP="008928A8">
      <w:pPr>
        <w:spacing w:after="0" w:line="240" w:lineRule="atLeast"/>
        <w:ind w:left="600" w:firstLine="720"/>
        <w:rPr>
          <w:rFonts w:eastAsia="Times New Roman"/>
          <w:lang w:eastAsia="ja-JP"/>
        </w:rPr>
      </w:pPr>
    </w:p>
    <w:p w14:paraId="3EECD7D5" w14:textId="77777777" w:rsidR="008928A8" w:rsidRPr="008928A8" w:rsidRDefault="008928A8" w:rsidP="008928A8">
      <w:pPr>
        <w:ind w:left="360"/>
        <w:rPr>
          <w:rFonts w:eastAsia="Times New Roman"/>
          <w:lang w:eastAsia="ja-JP"/>
        </w:rPr>
      </w:pPr>
      <w:r w:rsidRPr="008928A8">
        <w:rPr>
          <w:rFonts w:eastAsia="Times New Roman"/>
          <w:lang w:eastAsia="ja-JP"/>
        </w:rPr>
        <w:t>Where a fire watch is not required, the HWL shall make a final inspection 1/2 hour after the completion of hot work operations to detect and extinguish possible smoldering fires.</w:t>
      </w:r>
    </w:p>
    <w:p w14:paraId="1F20CBFD" w14:textId="77777777" w:rsidR="008928A8" w:rsidRPr="008928A8" w:rsidRDefault="008928A8" w:rsidP="008928A8">
      <w:pPr>
        <w:spacing w:after="0" w:line="240" w:lineRule="atLeast"/>
        <w:ind w:firstLine="720"/>
        <w:rPr>
          <w:rFonts w:eastAsia="Times New Roman"/>
          <w:lang w:eastAsia="ja-JP"/>
        </w:rPr>
      </w:pPr>
      <w:r w:rsidRPr="008928A8">
        <w:rPr>
          <w:rFonts w:eastAsia="Times New Roman"/>
          <w:lang w:eastAsia="ja-JP"/>
        </w:rPr>
        <w:lastRenderedPageBreak/>
        <w:t xml:space="preserve"> </w:t>
      </w:r>
    </w:p>
    <w:p w14:paraId="483E78EF" w14:textId="5E448D04" w:rsidR="008928A8" w:rsidRPr="008928A8" w:rsidRDefault="008928A8" w:rsidP="008928A8">
      <w:pPr>
        <w:pStyle w:val="Heading2"/>
        <w:rPr>
          <w:rFonts w:eastAsia="Times New Roman"/>
          <w:lang w:eastAsia="ja-JP"/>
        </w:rPr>
      </w:pPr>
      <w:r w:rsidRPr="008928A8">
        <w:rPr>
          <w:rFonts w:eastAsia="Times New Roman"/>
          <w:lang w:eastAsia="ja-JP"/>
        </w:rPr>
        <w:t>Hot Work Operator (HWO)</w:t>
      </w:r>
    </w:p>
    <w:p w14:paraId="1FB2425E" w14:textId="77777777" w:rsidR="008928A8" w:rsidRPr="008928A8" w:rsidRDefault="008928A8" w:rsidP="008928A8">
      <w:pPr>
        <w:spacing w:after="0" w:line="240" w:lineRule="atLeast"/>
        <w:ind w:left="360"/>
        <w:rPr>
          <w:rFonts w:eastAsia="Times New Roman"/>
          <w:lang w:eastAsia="ja-JP"/>
        </w:rPr>
      </w:pPr>
      <w:r w:rsidRPr="008928A8">
        <w:rPr>
          <w:rFonts w:eastAsia="Times New Roman"/>
          <w:lang w:eastAsia="ja-JP"/>
        </w:rPr>
        <w:t>The hot work operator shall handle the equipment safely and perform work so as not to endanger lives and property.  Specific duties include:</w:t>
      </w:r>
    </w:p>
    <w:p w14:paraId="72CB133D" w14:textId="3419001F" w:rsidR="008928A8" w:rsidRPr="008928A8" w:rsidRDefault="008928A8" w:rsidP="008928A8">
      <w:pPr>
        <w:pStyle w:val="ListParagraph"/>
        <w:numPr>
          <w:ilvl w:val="0"/>
          <w:numId w:val="14"/>
        </w:numPr>
        <w:rPr>
          <w:rFonts w:eastAsia="Times New Roman"/>
        </w:rPr>
      </w:pPr>
      <w:bookmarkStart w:id="18" w:name="_Toc320712950"/>
      <w:r w:rsidRPr="008928A8">
        <w:rPr>
          <w:rFonts w:eastAsia="Times New Roman"/>
        </w:rPr>
        <w:t>No hot work shall be conducted without specific written authorization from the HWL via completion of the Hot Work Permit.</w:t>
      </w:r>
      <w:bookmarkEnd w:id="18"/>
      <w:r w:rsidRPr="008928A8">
        <w:rPr>
          <w:rFonts w:eastAsia="Times New Roman"/>
        </w:rPr>
        <w:t xml:space="preserve"> (See appendix A)</w:t>
      </w:r>
    </w:p>
    <w:p w14:paraId="73ADF063" w14:textId="77777777" w:rsidR="008928A8" w:rsidRPr="008928A8" w:rsidRDefault="008928A8" w:rsidP="008928A8">
      <w:pPr>
        <w:pStyle w:val="ListParagraph"/>
        <w:numPr>
          <w:ilvl w:val="0"/>
          <w:numId w:val="14"/>
        </w:numPr>
        <w:rPr>
          <w:rFonts w:eastAsia="Times New Roman"/>
        </w:rPr>
      </w:pPr>
      <w:bookmarkStart w:id="19" w:name="_Toc320712951"/>
      <w:r w:rsidRPr="008928A8">
        <w:rPr>
          <w:rFonts w:eastAsia="Times New Roman"/>
        </w:rPr>
        <w:t>The operator must cease hot work operations if unsafe conditions develop.</w:t>
      </w:r>
      <w:bookmarkEnd w:id="19"/>
      <w:r w:rsidRPr="008928A8">
        <w:rPr>
          <w:rFonts w:eastAsia="Times New Roman"/>
        </w:rPr>
        <w:t xml:space="preserve"> </w:t>
      </w:r>
    </w:p>
    <w:p w14:paraId="72EBEF16" w14:textId="77777777" w:rsidR="008928A8" w:rsidRPr="008928A8" w:rsidRDefault="008928A8" w:rsidP="008928A8">
      <w:pPr>
        <w:pStyle w:val="ListParagraph"/>
        <w:numPr>
          <w:ilvl w:val="0"/>
          <w:numId w:val="14"/>
        </w:numPr>
        <w:rPr>
          <w:rFonts w:eastAsia="Times New Roman"/>
        </w:rPr>
      </w:pPr>
      <w:bookmarkStart w:id="20" w:name="_Toc320712952"/>
      <w:r w:rsidRPr="008928A8">
        <w:rPr>
          <w:rFonts w:eastAsia="Times New Roman"/>
        </w:rPr>
        <w:t>The operator must notify the HWL for reassessment of the situation in the event of suspected unsafe conditions or concerns expressed by affected persons.</w:t>
      </w:r>
      <w:bookmarkEnd w:id="20"/>
      <w:r w:rsidRPr="008928A8">
        <w:rPr>
          <w:rFonts w:eastAsia="Times New Roman"/>
        </w:rPr>
        <w:t xml:space="preserve"> </w:t>
      </w:r>
    </w:p>
    <w:p w14:paraId="396BC403" w14:textId="6BD8AF54" w:rsidR="008928A8" w:rsidRPr="008928A8" w:rsidRDefault="008928A8" w:rsidP="008928A8">
      <w:pPr>
        <w:spacing w:after="0" w:line="240" w:lineRule="atLeast"/>
        <w:ind w:firstLine="720"/>
        <w:rPr>
          <w:rFonts w:eastAsia="Times New Roman"/>
          <w:lang w:eastAsia="ja-JP"/>
        </w:rPr>
      </w:pPr>
    </w:p>
    <w:p w14:paraId="764B78C2" w14:textId="5893D2AF" w:rsidR="008928A8" w:rsidRPr="008928A8" w:rsidRDefault="008928A8" w:rsidP="008928A8">
      <w:pPr>
        <w:pStyle w:val="Heading2"/>
        <w:rPr>
          <w:rFonts w:eastAsia="Times New Roman"/>
          <w:lang w:eastAsia="ja-JP"/>
        </w:rPr>
      </w:pPr>
      <w:r w:rsidRPr="008928A8">
        <w:rPr>
          <w:rFonts w:eastAsia="Times New Roman"/>
          <w:lang w:eastAsia="ja-JP"/>
        </w:rPr>
        <w:t>Fire Watch</w:t>
      </w:r>
    </w:p>
    <w:p w14:paraId="4864AA3B" w14:textId="77777777" w:rsidR="008928A8" w:rsidRPr="008928A8" w:rsidRDefault="008928A8" w:rsidP="008928A8">
      <w:pPr>
        <w:ind w:left="360"/>
        <w:rPr>
          <w:rFonts w:eastAsia="Times New Roman"/>
          <w:lang w:eastAsia="ja-JP"/>
        </w:rPr>
      </w:pPr>
      <w:r w:rsidRPr="008928A8">
        <w:rPr>
          <w:rFonts w:eastAsia="Times New Roman"/>
          <w:lang w:eastAsia="ja-JP"/>
        </w:rPr>
        <w:t xml:space="preserve">The fire watch is an individual posted in specific circumstances, as described below.  The function of the fire watch is to observe the hot work and monitor conditions to ensure that a fire or explosion does not occur </w:t>
      </w:r>
      <w:proofErr w:type="gramStart"/>
      <w:r w:rsidRPr="008928A8">
        <w:rPr>
          <w:rFonts w:eastAsia="Times New Roman"/>
          <w:lang w:eastAsia="ja-JP"/>
        </w:rPr>
        <w:t>as a result of</w:t>
      </w:r>
      <w:proofErr w:type="gramEnd"/>
      <w:r w:rsidRPr="008928A8">
        <w:rPr>
          <w:rFonts w:eastAsia="Times New Roman"/>
          <w:lang w:eastAsia="ja-JP"/>
        </w:rPr>
        <w:t xml:space="preserve"> the work performed.  The fire watch is authorized to stop any unsafe operation or activity.  Specific duties and responsibilities include:</w:t>
      </w:r>
    </w:p>
    <w:p w14:paraId="252F4705" w14:textId="77777777" w:rsidR="008928A8" w:rsidRPr="008928A8" w:rsidRDefault="008928A8" w:rsidP="008928A8">
      <w:pPr>
        <w:pStyle w:val="ListParagraph"/>
        <w:numPr>
          <w:ilvl w:val="0"/>
          <w:numId w:val="16"/>
        </w:numPr>
        <w:rPr>
          <w:rFonts w:eastAsia="Times New Roman"/>
          <w:lang w:eastAsia="ja-JP"/>
        </w:rPr>
      </w:pPr>
      <w:r w:rsidRPr="008928A8">
        <w:rPr>
          <w:rFonts w:eastAsia="Times New Roman"/>
          <w:lang w:eastAsia="ja-JP"/>
        </w:rPr>
        <w:t>No hot work shall be conducted without specific written authorization from the HWL via completion of the Hot Work Permit. (See appendix A)</w:t>
      </w:r>
    </w:p>
    <w:p w14:paraId="21C443C4" w14:textId="77777777" w:rsidR="008928A8" w:rsidRPr="008928A8" w:rsidRDefault="008928A8" w:rsidP="008928A8">
      <w:pPr>
        <w:pStyle w:val="ListParagraph"/>
        <w:numPr>
          <w:ilvl w:val="0"/>
          <w:numId w:val="16"/>
        </w:numPr>
        <w:rPr>
          <w:rFonts w:eastAsia="Times New Roman"/>
          <w:lang w:eastAsia="ja-JP"/>
        </w:rPr>
      </w:pPr>
      <w:r w:rsidRPr="008928A8">
        <w:rPr>
          <w:rFonts w:eastAsia="Times New Roman"/>
          <w:lang w:eastAsia="ja-JP"/>
        </w:rPr>
        <w:t xml:space="preserve">The operator must cease hot work operations if unsafe conditions develop. </w:t>
      </w:r>
    </w:p>
    <w:p w14:paraId="01686B7B" w14:textId="77777777" w:rsidR="008928A8" w:rsidRPr="008928A8" w:rsidRDefault="008928A8" w:rsidP="008928A8">
      <w:pPr>
        <w:pStyle w:val="ListParagraph"/>
        <w:numPr>
          <w:ilvl w:val="0"/>
          <w:numId w:val="16"/>
        </w:numPr>
        <w:rPr>
          <w:rFonts w:eastAsia="Times New Roman"/>
          <w:lang w:eastAsia="ja-JP"/>
        </w:rPr>
      </w:pPr>
      <w:r w:rsidRPr="008928A8">
        <w:rPr>
          <w:rFonts w:eastAsia="Times New Roman"/>
          <w:lang w:eastAsia="ja-JP"/>
        </w:rPr>
        <w:t xml:space="preserve">The operator must notify the HWL for reassessment of the situation in the event of suspected unsafe conditions or concerns expressed by affected persons. </w:t>
      </w:r>
    </w:p>
    <w:p w14:paraId="262A7FB4" w14:textId="40AAD836" w:rsidR="00E53469" w:rsidRDefault="00E53469" w:rsidP="00E53469">
      <w:pPr>
        <w:pStyle w:val="Heading1"/>
        <w:rPr>
          <w:rFonts w:ascii="Calibri" w:eastAsia="Times New Roman" w:hAnsi="Calibri" w:cs="Calibri"/>
          <w:lang w:eastAsia="ja-JP"/>
        </w:rPr>
      </w:pPr>
      <w:r w:rsidRPr="00E53469">
        <w:rPr>
          <w:rFonts w:ascii="Calibri" w:eastAsia="Times New Roman" w:hAnsi="Calibri" w:cs="Calibri"/>
          <w:lang w:eastAsia="ja-JP"/>
        </w:rPr>
        <w:t>Procedure</w:t>
      </w:r>
    </w:p>
    <w:p w14:paraId="7535554C" w14:textId="77777777" w:rsidR="00382599" w:rsidRPr="00382599" w:rsidRDefault="00382599" w:rsidP="00382599">
      <w:pPr>
        <w:rPr>
          <w:lang w:eastAsia="ja-JP"/>
        </w:rPr>
      </w:pPr>
    </w:p>
    <w:p w14:paraId="018E1894" w14:textId="4A4BEF83" w:rsidR="008928A8" w:rsidRPr="00280187" w:rsidRDefault="00382599" w:rsidP="00382599">
      <w:pPr>
        <w:pStyle w:val="Heading2"/>
      </w:pPr>
      <w:bookmarkStart w:id="21" w:name="_Toc320712963"/>
      <w:bookmarkEnd w:id="21"/>
      <w:proofErr w:type="spellStart"/>
      <w:r>
        <w:t>Hotwork</w:t>
      </w:r>
      <w:proofErr w:type="spellEnd"/>
      <w:r>
        <w:t xml:space="preserve"> General Requirements</w:t>
      </w:r>
    </w:p>
    <w:p w14:paraId="43518D41" w14:textId="77777777" w:rsidR="008928A8" w:rsidRPr="00382599" w:rsidRDefault="008928A8" w:rsidP="00382599">
      <w:pPr>
        <w:autoSpaceDE w:val="0"/>
        <w:autoSpaceDN w:val="0"/>
        <w:spacing w:before="72" w:after="72"/>
        <w:ind w:left="360"/>
        <w:rPr>
          <w:rFonts w:ascii="Calibri" w:hAnsi="Calibri" w:cs="Calibri"/>
          <w:sz w:val="24"/>
          <w:szCs w:val="24"/>
        </w:rPr>
      </w:pPr>
      <w:r w:rsidRPr="00382599">
        <w:rPr>
          <w:rFonts w:ascii="Calibri" w:hAnsi="Calibri" w:cs="Calibri"/>
          <w:color w:val="000000"/>
          <w:sz w:val="24"/>
          <w:szCs w:val="24"/>
        </w:rPr>
        <w:t xml:space="preserve">Hot work is allowed only in areas that are or have been made </w:t>
      </w:r>
      <w:proofErr w:type="gramStart"/>
      <w:r w:rsidRPr="00382599">
        <w:rPr>
          <w:rFonts w:ascii="Calibri" w:hAnsi="Calibri" w:cs="Calibri"/>
          <w:color w:val="000000"/>
          <w:sz w:val="24"/>
          <w:szCs w:val="24"/>
        </w:rPr>
        <w:t>fire-safe</w:t>
      </w:r>
      <w:proofErr w:type="gramEnd"/>
      <w:r w:rsidRPr="00382599">
        <w:rPr>
          <w:rFonts w:ascii="Calibri" w:hAnsi="Calibri" w:cs="Calibri"/>
          <w:color w:val="000000"/>
          <w:sz w:val="24"/>
          <w:szCs w:val="24"/>
        </w:rPr>
        <w:t>. Hot work may only be performed in either designated areas or permit-required areas.</w:t>
      </w:r>
    </w:p>
    <w:p w14:paraId="2AA4C5E4"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bookmarkStart w:id="22" w:name="nfcs0051b_99_3_1_1"/>
      <w:bookmarkEnd w:id="22"/>
      <w:r w:rsidRPr="00382599">
        <w:rPr>
          <w:rFonts w:ascii="Calibri" w:hAnsi="Calibri" w:cs="Calibri"/>
          <w:color w:val="000000"/>
          <w:sz w:val="24"/>
          <w:szCs w:val="24"/>
        </w:rPr>
        <w:t xml:space="preserve">Where possible, all combustibles will be relocated at least 25 feet from the work site. </w:t>
      </w:r>
    </w:p>
    <w:p w14:paraId="0E488184"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 xml:space="preserve">Where relocation is impractical, combustibles must be protected with a flameproof cover, shielded with metal, guards, curtains, or wet down to help prevent ignition of material. </w:t>
      </w:r>
    </w:p>
    <w:p w14:paraId="0E9D5596"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lastRenderedPageBreak/>
        <w:t xml:space="preserve">Where cutting or welding is done near walls, partitions, ceilings, or roof of combustible construction, fire-resistant shields or guards must be utilized to prevent ignition. </w:t>
      </w:r>
    </w:p>
    <w:p w14:paraId="44E90A8C"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If welding is to be done on a metal wall, partition, ceiling, or roof, precautions must be taken to prevent ignition of combustibles on the other side, due to conduction or radiation of heat.</w:t>
      </w:r>
    </w:p>
    <w:p w14:paraId="3B467965"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 xml:space="preserve">Where combustibles cannot be relocated on the opposite side of the work, a fire watch person will be provided on the opposite side of the separation. </w:t>
      </w:r>
    </w:p>
    <w:p w14:paraId="19ABFE0C"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 xml:space="preserve">Welding will not be attempted on a metal partition, wall, </w:t>
      </w:r>
      <w:proofErr w:type="gramStart"/>
      <w:r w:rsidRPr="00382599">
        <w:rPr>
          <w:rFonts w:ascii="Calibri" w:hAnsi="Calibri" w:cs="Calibri"/>
          <w:color w:val="000000"/>
          <w:sz w:val="24"/>
          <w:szCs w:val="24"/>
        </w:rPr>
        <w:t>ceiling</w:t>
      </w:r>
      <w:proofErr w:type="gramEnd"/>
      <w:r w:rsidRPr="00382599">
        <w:rPr>
          <w:rFonts w:ascii="Calibri" w:hAnsi="Calibri" w:cs="Calibri"/>
          <w:color w:val="000000"/>
          <w:sz w:val="24"/>
          <w:szCs w:val="24"/>
        </w:rPr>
        <w:t xml:space="preserve"> or roof having a covering nor on walls having combustible sandwich panel construction. </w:t>
      </w:r>
    </w:p>
    <w:p w14:paraId="763DCA7A"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 xml:space="preserve">Cutting or welding on pipes or other metal in contact with combustible walls, partitions, ceilings, or roofs will not be undertaken if the work is close enough to cause ignition by combustion. </w:t>
      </w:r>
    </w:p>
    <w:p w14:paraId="3B8DAC65"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In areas where there is dust accumulation of greater than 1/16 inch within 25 feet of the area where welding/hot works will be conducted, all dust accumulation will be cleaned up before welding/hot works are permitted.</w:t>
      </w:r>
    </w:p>
    <w:p w14:paraId="451B851E"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 xml:space="preserve">Suitable fire extinguishers must be provided and maintained ready for instant use. </w:t>
      </w:r>
    </w:p>
    <w:p w14:paraId="4BCEB55A"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Ducts that might carry sparks to distant combustibles must be protected or shut down.</w:t>
      </w:r>
    </w:p>
    <w:p w14:paraId="54101549" w14:textId="77777777" w:rsidR="008928A8" w:rsidRPr="00382599" w:rsidRDefault="008928A8" w:rsidP="00382599">
      <w:pPr>
        <w:numPr>
          <w:ilvl w:val="0"/>
          <w:numId w:val="18"/>
        </w:numPr>
        <w:autoSpaceDE w:val="0"/>
        <w:autoSpaceDN w:val="0"/>
        <w:spacing w:before="72" w:after="72" w:line="240" w:lineRule="auto"/>
        <w:ind w:left="1080" w:hanging="360"/>
        <w:rPr>
          <w:rFonts w:ascii="Calibri" w:hAnsi="Calibri" w:cs="Calibri"/>
          <w:color w:val="000000"/>
          <w:sz w:val="24"/>
          <w:szCs w:val="24"/>
        </w:rPr>
      </w:pPr>
      <w:r w:rsidRPr="00382599">
        <w:rPr>
          <w:rFonts w:ascii="Calibri" w:hAnsi="Calibri" w:cs="Calibri"/>
          <w:color w:val="000000"/>
          <w:sz w:val="24"/>
          <w:szCs w:val="24"/>
        </w:rPr>
        <w:t>A cutting/welding permit shall be issued on all welding or cutting outside of designated welding areas.</w:t>
      </w:r>
    </w:p>
    <w:p w14:paraId="080D7853" w14:textId="77777777" w:rsidR="008928A8" w:rsidRPr="00382599" w:rsidRDefault="008928A8" w:rsidP="00382599">
      <w:pPr>
        <w:numPr>
          <w:ilvl w:val="0"/>
          <w:numId w:val="18"/>
        </w:numPr>
        <w:autoSpaceDE w:val="0"/>
        <w:autoSpaceDN w:val="0"/>
        <w:spacing w:before="36" w:after="36" w:line="240" w:lineRule="auto"/>
        <w:ind w:left="1080" w:hanging="360"/>
        <w:rPr>
          <w:rFonts w:ascii="Calibri" w:hAnsi="Calibri" w:cs="Calibri"/>
          <w:sz w:val="24"/>
          <w:szCs w:val="24"/>
        </w:rPr>
      </w:pPr>
      <w:r w:rsidRPr="00382599">
        <w:rPr>
          <w:rFonts w:ascii="Calibri" w:hAnsi="Calibri" w:cs="Calibri"/>
          <w:color w:val="000000"/>
          <w:sz w:val="24"/>
          <w:szCs w:val="24"/>
        </w:rPr>
        <w:t xml:space="preserve">If hot work is done in </w:t>
      </w:r>
      <w:r w:rsidRPr="00382599">
        <w:rPr>
          <w:rFonts w:ascii="Calibri" w:hAnsi="Calibri" w:cs="Calibri"/>
          <w:color w:val="000000"/>
          <w:sz w:val="24"/>
          <w:szCs w:val="24"/>
          <w:u w:val="single"/>
        </w:rPr>
        <w:t>proximity</w:t>
      </w:r>
      <w:r w:rsidRPr="00382599">
        <w:rPr>
          <w:rFonts w:ascii="Calibri" w:hAnsi="Calibri" w:cs="Calibri"/>
          <w:color w:val="000000"/>
          <w:sz w:val="24"/>
          <w:szCs w:val="24"/>
        </w:rPr>
        <w:t xml:space="preserve"> to a sprinkler head, a wet rag shall be laid over the head and then removed at the conclusion of the welding or cutting operation. During hot work, special precautions shall be taken to avoid accidental operation of automatic fire detection or suppression systems (for example, special extinguishing systems or sprinklers).</w:t>
      </w:r>
    </w:p>
    <w:p w14:paraId="7BDA5331" w14:textId="77777777" w:rsidR="008928A8" w:rsidRPr="00382599" w:rsidRDefault="008928A8" w:rsidP="00382599">
      <w:pPr>
        <w:autoSpaceDE w:val="0"/>
        <w:autoSpaceDN w:val="0"/>
        <w:spacing w:before="72" w:after="72"/>
        <w:ind w:left="360"/>
        <w:rPr>
          <w:rFonts w:ascii="Calibri" w:hAnsi="Calibri" w:cs="Calibri"/>
          <w:sz w:val="24"/>
          <w:szCs w:val="24"/>
        </w:rPr>
      </w:pPr>
      <w:bookmarkStart w:id="23" w:name="nfcs0051b_99_3_2"/>
      <w:bookmarkEnd w:id="23"/>
      <w:r w:rsidRPr="00382599">
        <w:rPr>
          <w:rFonts w:ascii="Calibri" w:hAnsi="Calibri" w:cs="Calibri"/>
          <w:color w:val="000000"/>
          <w:sz w:val="24"/>
          <w:szCs w:val="24"/>
        </w:rPr>
        <w:t>Hot work is not allowed:</w:t>
      </w:r>
    </w:p>
    <w:p w14:paraId="01B6677B" w14:textId="77777777" w:rsidR="008928A8" w:rsidRPr="00382599" w:rsidRDefault="008928A8" w:rsidP="00382599">
      <w:pPr>
        <w:numPr>
          <w:ilvl w:val="0"/>
          <w:numId w:val="19"/>
        </w:numPr>
        <w:autoSpaceDE w:val="0"/>
        <w:autoSpaceDN w:val="0"/>
        <w:spacing w:before="36" w:after="36" w:line="240" w:lineRule="auto"/>
        <w:ind w:left="1944"/>
        <w:jc w:val="left"/>
        <w:rPr>
          <w:rFonts w:ascii="Calibri" w:hAnsi="Calibri" w:cs="Calibri"/>
          <w:sz w:val="24"/>
          <w:szCs w:val="24"/>
        </w:rPr>
      </w:pPr>
      <w:r w:rsidRPr="00382599">
        <w:rPr>
          <w:rFonts w:ascii="Calibri" w:hAnsi="Calibri" w:cs="Calibri"/>
          <w:color w:val="000000"/>
          <w:sz w:val="24"/>
          <w:szCs w:val="24"/>
        </w:rPr>
        <w:t>In sprinklered buildings if the fire protection system is impaired</w:t>
      </w:r>
    </w:p>
    <w:p w14:paraId="4DAC83B8" w14:textId="77777777" w:rsidR="008928A8" w:rsidRPr="00382599" w:rsidRDefault="008928A8" w:rsidP="00382599">
      <w:pPr>
        <w:numPr>
          <w:ilvl w:val="0"/>
          <w:numId w:val="19"/>
        </w:numPr>
        <w:autoSpaceDE w:val="0"/>
        <w:autoSpaceDN w:val="0"/>
        <w:spacing w:before="36" w:after="36" w:line="240" w:lineRule="auto"/>
        <w:ind w:left="1944"/>
        <w:jc w:val="left"/>
        <w:rPr>
          <w:rFonts w:ascii="Calibri" w:hAnsi="Calibri" w:cs="Calibri"/>
          <w:sz w:val="24"/>
          <w:szCs w:val="24"/>
        </w:rPr>
      </w:pPr>
      <w:r w:rsidRPr="00382599">
        <w:rPr>
          <w:rFonts w:ascii="Calibri" w:hAnsi="Calibri" w:cs="Calibri"/>
          <w:color w:val="000000"/>
          <w:sz w:val="24"/>
          <w:szCs w:val="24"/>
        </w:rPr>
        <w:t>In the presence of explosive atmospheres or potentially explosive atmospheres</w:t>
      </w:r>
      <w:proofErr w:type="gramStart"/>
      <w:r w:rsidRPr="00382599">
        <w:rPr>
          <w:rFonts w:ascii="Calibri" w:hAnsi="Calibri" w:cs="Calibri"/>
          <w:color w:val="000000"/>
          <w:sz w:val="24"/>
          <w:szCs w:val="24"/>
        </w:rPr>
        <w:t xml:space="preserve"> </w:t>
      </w:r>
      <w:r w:rsidRPr="00382599">
        <w:rPr>
          <w:rFonts w:ascii="Calibri" w:hAnsi="Calibri" w:cs="Calibri"/>
          <w:sz w:val="24"/>
          <w:szCs w:val="24"/>
        </w:rPr>
        <w:t xml:space="preserve">  </w:t>
      </w:r>
      <w:r w:rsidRPr="00382599">
        <w:rPr>
          <w:rFonts w:ascii="Calibri" w:hAnsi="Calibri" w:cs="Calibri"/>
          <w:color w:val="000000"/>
          <w:sz w:val="24"/>
          <w:szCs w:val="24"/>
        </w:rPr>
        <w:t>(</w:t>
      </w:r>
      <w:proofErr w:type="gramEnd"/>
      <w:r w:rsidRPr="00382599">
        <w:rPr>
          <w:rFonts w:ascii="Calibri" w:hAnsi="Calibri" w:cs="Calibri"/>
          <w:color w:val="000000"/>
          <w:sz w:val="24"/>
          <w:szCs w:val="24"/>
        </w:rPr>
        <w:t xml:space="preserve"> e.g. on drums previously containing solvents)</w:t>
      </w:r>
    </w:p>
    <w:p w14:paraId="0E759FD9" w14:textId="06E51CD3" w:rsidR="008928A8" w:rsidRPr="00382599" w:rsidRDefault="008928A8" w:rsidP="00382599">
      <w:pPr>
        <w:numPr>
          <w:ilvl w:val="0"/>
          <w:numId w:val="19"/>
        </w:numPr>
        <w:autoSpaceDE w:val="0"/>
        <w:autoSpaceDN w:val="0"/>
        <w:spacing w:before="36" w:after="36" w:line="240" w:lineRule="auto"/>
        <w:ind w:left="1944"/>
        <w:jc w:val="left"/>
        <w:rPr>
          <w:rFonts w:ascii="Calibri" w:hAnsi="Calibri" w:cs="Calibri"/>
          <w:sz w:val="24"/>
          <w:szCs w:val="24"/>
        </w:rPr>
      </w:pPr>
      <w:r w:rsidRPr="00382599">
        <w:rPr>
          <w:rFonts w:ascii="Calibri" w:hAnsi="Calibri" w:cs="Calibri"/>
          <w:color w:val="000000"/>
          <w:sz w:val="24"/>
          <w:szCs w:val="24"/>
        </w:rPr>
        <w:t>In explosive atmospheres that can develop in areas with an accumulation of combustible dusts (</w:t>
      </w:r>
      <w:proofErr w:type="gramStart"/>
      <w:r w:rsidRPr="00382599">
        <w:rPr>
          <w:rFonts w:ascii="Calibri" w:hAnsi="Calibri" w:cs="Calibri"/>
          <w:color w:val="000000"/>
          <w:sz w:val="24"/>
          <w:szCs w:val="24"/>
        </w:rPr>
        <w:t>e.g.</w:t>
      </w:r>
      <w:proofErr w:type="gramEnd"/>
      <w:r w:rsidRPr="00382599">
        <w:rPr>
          <w:rFonts w:ascii="Calibri" w:hAnsi="Calibri" w:cs="Calibri"/>
          <w:color w:val="000000"/>
          <w:sz w:val="24"/>
          <w:szCs w:val="24"/>
        </w:rPr>
        <w:t xml:space="preserve"> grain silos).</w:t>
      </w:r>
    </w:p>
    <w:p w14:paraId="1E8F7BA8" w14:textId="77777777" w:rsidR="00382599" w:rsidRPr="00382599" w:rsidRDefault="00382599" w:rsidP="00382599">
      <w:pPr>
        <w:autoSpaceDE w:val="0"/>
        <w:autoSpaceDN w:val="0"/>
        <w:spacing w:before="36" w:after="36" w:line="240" w:lineRule="auto"/>
        <w:ind w:left="1944"/>
        <w:jc w:val="left"/>
        <w:rPr>
          <w:rFonts w:ascii="Calibri" w:hAnsi="Calibri" w:cs="Calibri"/>
        </w:rPr>
      </w:pPr>
    </w:p>
    <w:p w14:paraId="5182044C" w14:textId="79293FB5" w:rsidR="008928A8" w:rsidRPr="00B73669" w:rsidRDefault="00382599" w:rsidP="00382599">
      <w:pPr>
        <w:pStyle w:val="Heading2"/>
      </w:pPr>
      <w:r>
        <w:lastRenderedPageBreak/>
        <w:t>Hot work Permit</w:t>
      </w:r>
    </w:p>
    <w:p w14:paraId="03EBC7DB" w14:textId="77777777" w:rsidR="008928A8" w:rsidRPr="00382599" w:rsidRDefault="008928A8" w:rsidP="008928A8">
      <w:pPr>
        <w:tabs>
          <w:tab w:val="left" w:pos="864"/>
          <w:tab w:val="left" w:pos="1152"/>
          <w:tab w:val="left" w:pos="1440"/>
          <w:tab w:val="left" w:pos="1728"/>
          <w:tab w:val="left" w:pos="2016"/>
          <w:tab w:val="left" w:pos="2304"/>
          <w:tab w:val="left" w:pos="2592"/>
          <w:tab w:val="left" w:pos="2880"/>
        </w:tabs>
        <w:ind w:left="720" w:hanging="720"/>
        <w:rPr>
          <w:rFonts w:cstheme="minorHAnsi"/>
          <w:sz w:val="24"/>
          <w:szCs w:val="24"/>
        </w:rPr>
      </w:pPr>
    </w:p>
    <w:p w14:paraId="075ED3C9" w14:textId="431F7448" w:rsidR="008928A8" w:rsidRPr="00382599" w:rsidRDefault="008928A8" w:rsidP="00382599">
      <w:pPr>
        <w:pStyle w:val="Default"/>
        <w:ind w:left="360"/>
        <w:jc w:val="both"/>
        <w:rPr>
          <w:rFonts w:asciiTheme="minorHAnsi" w:hAnsiTheme="minorHAnsi" w:cstheme="minorHAnsi"/>
        </w:rPr>
      </w:pPr>
      <w:bookmarkStart w:id="24" w:name="nfcs0051b_99_3_3_1"/>
      <w:bookmarkEnd w:id="24"/>
      <w:r w:rsidRPr="00382599">
        <w:rPr>
          <w:rFonts w:asciiTheme="minorHAnsi" w:hAnsiTheme="minorHAnsi" w:cstheme="minorHAnsi"/>
        </w:rPr>
        <w:t>Before hot work operations begin in a non-designated location, a completed hot work permit</w:t>
      </w:r>
      <w:r w:rsidRPr="00382599">
        <w:rPr>
          <w:rFonts w:asciiTheme="minorHAnsi" w:hAnsiTheme="minorHAnsi" w:cstheme="minorHAnsi"/>
          <w:color w:val="0000FF"/>
          <w:u w:val="single"/>
        </w:rPr>
        <w:t xml:space="preserve"> </w:t>
      </w:r>
      <w:r w:rsidRPr="00382599">
        <w:rPr>
          <w:rFonts w:asciiTheme="minorHAnsi" w:hAnsiTheme="minorHAnsi" w:cstheme="minorHAnsi"/>
        </w:rPr>
        <w:t xml:space="preserve">prepared by the Hot Work Operator is required. Based on local conditions, the HWL must determine the length of the period, not to exceed </w:t>
      </w:r>
      <w:r w:rsidR="002C24C3">
        <w:rPr>
          <w:rFonts w:asciiTheme="minorHAnsi" w:hAnsiTheme="minorHAnsi" w:cstheme="minorHAnsi"/>
        </w:rPr>
        <w:t>one</w:t>
      </w:r>
      <w:r w:rsidRPr="00382599">
        <w:rPr>
          <w:rFonts w:asciiTheme="minorHAnsi" w:hAnsiTheme="minorHAnsi" w:cstheme="minorHAnsi"/>
        </w:rPr>
        <w:t xml:space="preserve"> shift, for which the hot work permit is valid. If work is to be performed over a long period of time with the same ignition sources, a “blanket” permit may be issued for the length of job.  “Blanket permits should show the word “blanket” on the permit.  The HWL is responsible for documented periodic inspections to assure the work has not changed in scope and hazard.  If any change in hazard or scope is discovered, then the permit shall be issued </w:t>
      </w:r>
      <w:proofErr w:type="gramStart"/>
      <w:r w:rsidRPr="00382599">
        <w:rPr>
          <w:rFonts w:asciiTheme="minorHAnsi" w:hAnsiTheme="minorHAnsi" w:cstheme="minorHAnsi"/>
        </w:rPr>
        <w:t>on a daily basis</w:t>
      </w:r>
      <w:proofErr w:type="gramEnd"/>
      <w:r w:rsidRPr="00382599">
        <w:rPr>
          <w:rFonts w:asciiTheme="minorHAnsi" w:hAnsiTheme="minorHAnsi" w:cstheme="minorHAnsi"/>
        </w:rPr>
        <w:t>.</w:t>
      </w:r>
    </w:p>
    <w:p w14:paraId="0B082A8D" w14:textId="77777777" w:rsidR="002C24C3" w:rsidRDefault="002C24C3" w:rsidP="00382599">
      <w:pPr>
        <w:pStyle w:val="Default"/>
        <w:ind w:left="360"/>
        <w:jc w:val="both"/>
        <w:rPr>
          <w:rFonts w:asciiTheme="minorHAnsi" w:hAnsiTheme="minorHAnsi" w:cstheme="minorHAnsi"/>
        </w:rPr>
      </w:pPr>
    </w:p>
    <w:p w14:paraId="5BEF7479" w14:textId="07380443" w:rsidR="008928A8" w:rsidRPr="00382599" w:rsidRDefault="008928A8" w:rsidP="00382599">
      <w:pPr>
        <w:pStyle w:val="Default"/>
        <w:ind w:left="360"/>
        <w:jc w:val="both"/>
        <w:rPr>
          <w:rFonts w:asciiTheme="minorHAnsi" w:hAnsiTheme="minorHAnsi" w:cstheme="minorHAnsi"/>
        </w:rPr>
      </w:pPr>
      <w:r w:rsidRPr="00382599">
        <w:rPr>
          <w:rFonts w:asciiTheme="minorHAnsi" w:hAnsiTheme="minorHAnsi" w:cstheme="minorHAnsi"/>
        </w:rPr>
        <w:t xml:space="preserve">Both CURI Operations Manager and/or outside contractor requesting the permit are responsible for safety of the </w:t>
      </w:r>
      <w:proofErr w:type="gramStart"/>
      <w:r w:rsidRPr="00382599">
        <w:rPr>
          <w:rFonts w:asciiTheme="minorHAnsi" w:hAnsiTheme="minorHAnsi" w:cstheme="minorHAnsi"/>
        </w:rPr>
        <w:t>particular task</w:t>
      </w:r>
      <w:proofErr w:type="gramEnd"/>
      <w:r w:rsidRPr="00382599">
        <w:rPr>
          <w:rFonts w:asciiTheme="minorHAnsi" w:hAnsiTheme="minorHAnsi" w:cstheme="minorHAnsi"/>
        </w:rPr>
        <w:t xml:space="preserve"> ensuring that the required precaution checklist is completed.  </w:t>
      </w:r>
    </w:p>
    <w:p w14:paraId="0C54377A" w14:textId="77777777" w:rsidR="008928A8" w:rsidRPr="00382599" w:rsidRDefault="008928A8" w:rsidP="00382599">
      <w:pPr>
        <w:autoSpaceDE w:val="0"/>
        <w:autoSpaceDN w:val="0"/>
        <w:spacing w:before="72" w:after="72"/>
        <w:ind w:left="360"/>
        <w:rPr>
          <w:rFonts w:cstheme="minorHAnsi"/>
          <w:sz w:val="24"/>
          <w:szCs w:val="24"/>
        </w:rPr>
      </w:pPr>
      <w:r w:rsidRPr="00382599">
        <w:rPr>
          <w:rFonts w:cstheme="minorHAnsi"/>
          <w:color w:val="000000"/>
          <w:sz w:val="24"/>
          <w:szCs w:val="24"/>
        </w:rPr>
        <w:t>The following conditions must be confirmed by the HWL before permitting the hot work to commence:</w:t>
      </w:r>
    </w:p>
    <w:p w14:paraId="15E0FDEB"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Equipment to be used (</w:t>
      </w:r>
      <w:proofErr w:type="gramStart"/>
      <w:r w:rsidRPr="00382599">
        <w:rPr>
          <w:rFonts w:cstheme="minorHAnsi"/>
          <w:sz w:val="24"/>
          <w:szCs w:val="24"/>
        </w:rPr>
        <w:t>e.g.</w:t>
      </w:r>
      <w:proofErr w:type="gramEnd"/>
      <w:r w:rsidRPr="00382599">
        <w:rPr>
          <w:rFonts w:cstheme="minorHAnsi"/>
          <w:sz w:val="24"/>
          <w:szCs w:val="24"/>
        </w:rPr>
        <w:t xml:space="preserve"> welding equipment, shields, personal protective equipment, fire extinguishers) must be in satisfactory operating condition and in good repair.</w:t>
      </w:r>
    </w:p>
    <w:p w14:paraId="7379D57E"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 xml:space="preserve">The floor must be swept clean for a radius of 25 ft. if combustible materials, such as paper or wood shavings are on the floor, </w:t>
      </w:r>
    </w:p>
    <w:p w14:paraId="24003AA9"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Combustible floors must be:</w:t>
      </w:r>
    </w:p>
    <w:p w14:paraId="37D730D9"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 xml:space="preserve">kept wet </w:t>
      </w:r>
      <w:proofErr w:type="gramStart"/>
      <w:r w:rsidRPr="00382599">
        <w:rPr>
          <w:rFonts w:cstheme="minorHAnsi"/>
          <w:sz w:val="24"/>
          <w:szCs w:val="24"/>
        </w:rPr>
        <w:t>( note</w:t>
      </w:r>
      <w:proofErr w:type="gramEnd"/>
      <w:r w:rsidRPr="00382599">
        <w:rPr>
          <w:rFonts w:cstheme="minorHAnsi"/>
          <w:sz w:val="24"/>
          <w:szCs w:val="24"/>
        </w:rPr>
        <w:t xml:space="preserve">: where floors have been wet down, personnel operating arc welding or cutting equipment shall be protected from possible shock)., or </w:t>
      </w:r>
    </w:p>
    <w:p w14:paraId="5579CB4C"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 xml:space="preserve">protected by noncombustible or fire-retardant shields. </w:t>
      </w:r>
    </w:p>
    <w:p w14:paraId="3C7913FA"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All combustible materials must be moved at least 25 ft. away from the hot work operation. If relocation is impractical, combustibles must be protected with fire-retardant covers, shields or blankets. Edges of covers at the floor must be tight to prevent sparks from going under them, including where several covers overlap when protecting a large pile.</w:t>
      </w:r>
    </w:p>
    <w:p w14:paraId="0C0030D8"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Openings or cracks in walls, floors, or ducts within 25 ft. of the site must be tightly covered with fire-retardant or noncombustible material to prevent the passage of sparks to adjacent areas.</w:t>
      </w:r>
    </w:p>
    <w:p w14:paraId="7E5E8BD5"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lastRenderedPageBreak/>
        <w:t>If hot work is done near walls, partitions, ceilings, or roofs of combustible construction, fire-retardant shields or guards must be provided to prevent ignition.</w:t>
      </w:r>
    </w:p>
    <w:p w14:paraId="0C276185"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 xml:space="preserve">Fully charged and operable fire extinguishers that are appropriate for the type of possible fire shall be available immediately at the work area.  (The fire extinguishers normally located in a building may not fulfill this requirement.)  </w:t>
      </w:r>
    </w:p>
    <w:p w14:paraId="5DD4D799" w14:textId="77777777"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Nearby personnel must be suitably protected against heat, sparks, and slag.</w:t>
      </w:r>
    </w:p>
    <w:p w14:paraId="0080A3C3" w14:textId="0DF5F962" w:rsidR="008928A8" w:rsidRPr="00382599" w:rsidRDefault="008928A8" w:rsidP="00382599">
      <w:pPr>
        <w:pStyle w:val="ListParagraph"/>
        <w:numPr>
          <w:ilvl w:val="0"/>
          <w:numId w:val="34"/>
        </w:numPr>
        <w:rPr>
          <w:rFonts w:cstheme="minorHAnsi"/>
          <w:sz w:val="24"/>
          <w:szCs w:val="24"/>
        </w:rPr>
      </w:pPr>
      <w:r w:rsidRPr="00382599">
        <w:rPr>
          <w:rFonts w:cstheme="minorHAnsi"/>
          <w:sz w:val="24"/>
          <w:szCs w:val="24"/>
        </w:rPr>
        <w:t xml:space="preserve">Barricades and/or signs shall be posted “Caution Hot Work Area Do Not Enter” using red tape and pylons.  </w:t>
      </w:r>
    </w:p>
    <w:p w14:paraId="62171A19" w14:textId="77777777" w:rsidR="008928A8" w:rsidRPr="00382599" w:rsidRDefault="008928A8" w:rsidP="00382599">
      <w:pPr>
        <w:pStyle w:val="Default"/>
        <w:ind w:left="360"/>
        <w:jc w:val="both"/>
        <w:rPr>
          <w:rFonts w:asciiTheme="minorHAnsi" w:hAnsiTheme="minorHAnsi" w:cstheme="minorHAnsi"/>
        </w:rPr>
      </w:pPr>
      <w:r w:rsidRPr="00382599">
        <w:rPr>
          <w:rFonts w:asciiTheme="minorHAnsi" w:hAnsiTheme="minorHAnsi" w:cstheme="minorHAnsi"/>
        </w:rPr>
        <w:t xml:space="preserve">Once all the required conditions have been met, The Hot Work Leader (HWL) will grant a Hot Work Permit.  CURI Person(s) authorizing and issuing permits shall: </w:t>
      </w:r>
    </w:p>
    <w:p w14:paraId="2B511C02"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Inspect and assess the work site prior to issuing the </w:t>
      </w:r>
      <w:proofErr w:type="gramStart"/>
      <w:r w:rsidRPr="00382599">
        <w:rPr>
          <w:rFonts w:cstheme="minorHAnsi"/>
          <w:sz w:val="24"/>
          <w:szCs w:val="24"/>
        </w:rPr>
        <w:t>permit;</w:t>
      </w:r>
      <w:proofErr w:type="gramEnd"/>
      <w:r w:rsidRPr="00382599">
        <w:rPr>
          <w:rFonts w:cstheme="minorHAnsi"/>
          <w:sz w:val="24"/>
          <w:szCs w:val="24"/>
        </w:rPr>
        <w:t xml:space="preserve"> </w:t>
      </w:r>
    </w:p>
    <w:p w14:paraId="61AC3F62"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Require that necessary actions and precautions are taken before, during and after the job (</w:t>
      </w:r>
      <w:proofErr w:type="gramStart"/>
      <w:r w:rsidRPr="00382599">
        <w:rPr>
          <w:rFonts w:cstheme="minorHAnsi"/>
          <w:sz w:val="24"/>
          <w:szCs w:val="24"/>
        </w:rPr>
        <w:t>e.g.</w:t>
      </w:r>
      <w:proofErr w:type="gramEnd"/>
      <w:r w:rsidRPr="00382599">
        <w:rPr>
          <w:rFonts w:cstheme="minorHAnsi"/>
          <w:sz w:val="24"/>
          <w:szCs w:val="24"/>
        </w:rPr>
        <w:t xml:space="preserve"> fire watch provided, combustible materials removed, etc.); </w:t>
      </w:r>
    </w:p>
    <w:p w14:paraId="28087775"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Plan the work so fire hazards are </w:t>
      </w:r>
      <w:proofErr w:type="gramStart"/>
      <w:r w:rsidRPr="00382599">
        <w:rPr>
          <w:rFonts w:cstheme="minorHAnsi"/>
          <w:sz w:val="24"/>
          <w:szCs w:val="24"/>
        </w:rPr>
        <w:t>eliminated;</w:t>
      </w:r>
      <w:proofErr w:type="gramEnd"/>
      <w:r w:rsidRPr="00382599">
        <w:rPr>
          <w:rFonts w:cstheme="minorHAnsi"/>
          <w:sz w:val="24"/>
          <w:szCs w:val="24"/>
        </w:rPr>
        <w:t xml:space="preserve"> </w:t>
      </w:r>
    </w:p>
    <w:p w14:paraId="67DB89B6"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Ensure all needed fire safety items are at the work area and a signed permit has been obtained before starting the </w:t>
      </w:r>
      <w:proofErr w:type="gramStart"/>
      <w:r w:rsidRPr="00382599">
        <w:rPr>
          <w:rFonts w:cstheme="minorHAnsi"/>
          <w:sz w:val="24"/>
          <w:szCs w:val="24"/>
        </w:rPr>
        <w:t>job;</w:t>
      </w:r>
      <w:proofErr w:type="gramEnd"/>
      <w:r w:rsidRPr="00382599">
        <w:rPr>
          <w:rFonts w:cstheme="minorHAnsi"/>
          <w:sz w:val="24"/>
          <w:szCs w:val="24"/>
        </w:rPr>
        <w:t xml:space="preserve"> </w:t>
      </w:r>
    </w:p>
    <w:p w14:paraId="6C3EEC86"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Supervise the job to ensure it is done in a safe manner as prescribed by the </w:t>
      </w:r>
      <w:proofErr w:type="gramStart"/>
      <w:r w:rsidRPr="00382599">
        <w:rPr>
          <w:rFonts w:cstheme="minorHAnsi"/>
          <w:sz w:val="24"/>
          <w:szCs w:val="24"/>
        </w:rPr>
        <w:t>permit;</w:t>
      </w:r>
      <w:proofErr w:type="gramEnd"/>
      <w:r w:rsidRPr="00382599">
        <w:rPr>
          <w:rFonts w:cstheme="minorHAnsi"/>
          <w:sz w:val="24"/>
          <w:szCs w:val="24"/>
        </w:rPr>
        <w:t xml:space="preserve"> </w:t>
      </w:r>
    </w:p>
    <w:p w14:paraId="4504AF9D"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Ensure that the job is observed for at least 30 minutes after the hot work is completed to determine there is no smoldering or burning </w:t>
      </w:r>
      <w:proofErr w:type="gramStart"/>
      <w:r w:rsidRPr="00382599">
        <w:rPr>
          <w:rFonts w:cstheme="minorHAnsi"/>
          <w:sz w:val="24"/>
          <w:szCs w:val="24"/>
        </w:rPr>
        <w:t>material;</w:t>
      </w:r>
      <w:proofErr w:type="gramEnd"/>
      <w:r w:rsidRPr="00382599">
        <w:rPr>
          <w:rFonts w:cstheme="minorHAnsi"/>
          <w:sz w:val="24"/>
          <w:szCs w:val="24"/>
        </w:rPr>
        <w:t xml:space="preserve"> </w:t>
      </w:r>
    </w:p>
    <w:p w14:paraId="5FD1F944" w14:textId="77777777"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Certify that no conditions exist in the immediate vicinity that might present a possible fire hazard; and </w:t>
      </w:r>
    </w:p>
    <w:p w14:paraId="1554A0BD" w14:textId="2B3F31E4" w:rsidR="008928A8" w:rsidRPr="00382599" w:rsidRDefault="008928A8" w:rsidP="00382599">
      <w:pPr>
        <w:pStyle w:val="ListParagraph"/>
        <w:numPr>
          <w:ilvl w:val="0"/>
          <w:numId w:val="36"/>
        </w:numPr>
        <w:rPr>
          <w:rFonts w:cstheme="minorHAnsi"/>
          <w:sz w:val="24"/>
          <w:szCs w:val="24"/>
        </w:rPr>
      </w:pPr>
      <w:r w:rsidRPr="00382599">
        <w:rPr>
          <w:rFonts w:cstheme="minorHAnsi"/>
          <w:sz w:val="24"/>
          <w:szCs w:val="24"/>
        </w:rPr>
        <w:t xml:space="preserve">Have the responsibility for </w:t>
      </w:r>
      <w:proofErr w:type="gramStart"/>
      <w:r w:rsidRPr="00382599">
        <w:rPr>
          <w:rFonts w:cstheme="minorHAnsi"/>
          <w:sz w:val="24"/>
          <w:szCs w:val="24"/>
        </w:rPr>
        <w:t>insuring</w:t>
      </w:r>
      <w:proofErr w:type="gramEnd"/>
      <w:r w:rsidRPr="00382599">
        <w:rPr>
          <w:rFonts w:cstheme="minorHAnsi"/>
          <w:sz w:val="24"/>
          <w:szCs w:val="24"/>
        </w:rPr>
        <w:t xml:space="preserve"> that departmental conditions do not change while the permit is in effect. </w:t>
      </w:r>
    </w:p>
    <w:p w14:paraId="6AA72FE0" w14:textId="77777777" w:rsidR="008928A8" w:rsidRPr="00382599" w:rsidRDefault="008928A8" w:rsidP="00382599">
      <w:pPr>
        <w:pStyle w:val="Default"/>
        <w:ind w:left="360"/>
        <w:rPr>
          <w:rFonts w:asciiTheme="minorHAnsi" w:hAnsiTheme="minorHAnsi" w:cstheme="minorHAnsi"/>
        </w:rPr>
      </w:pPr>
    </w:p>
    <w:p w14:paraId="2AE48D93" w14:textId="77777777" w:rsidR="008928A8" w:rsidRPr="00382599" w:rsidRDefault="008928A8" w:rsidP="00382599">
      <w:pPr>
        <w:pStyle w:val="Default"/>
        <w:ind w:left="360"/>
        <w:jc w:val="both"/>
        <w:rPr>
          <w:rFonts w:asciiTheme="minorHAnsi" w:hAnsiTheme="minorHAnsi" w:cstheme="minorHAnsi"/>
        </w:rPr>
      </w:pPr>
      <w:r w:rsidRPr="00382599">
        <w:rPr>
          <w:rFonts w:asciiTheme="minorHAnsi" w:hAnsiTheme="minorHAnsi" w:cstheme="minorHAnsi"/>
        </w:rPr>
        <w:t xml:space="preserve">The hard copy of the “Hot Work Permit” shall be conspicuously posted at the work location. </w:t>
      </w:r>
    </w:p>
    <w:p w14:paraId="1D181B25" w14:textId="77777777" w:rsidR="008928A8" w:rsidRPr="00382599" w:rsidRDefault="008928A8" w:rsidP="00382599">
      <w:pPr>
        <w:pStyle w:val="Default"/>
        <w:ind w:left="360"/>
        <w:rPr>
          <w:rFonts w:asciiTheme="minorHAnsi" w:hAnsiTheme="minorHAnsi" w:cstheme="minorHAnsi"/>
        </w:rPr>
      </w:pPr>
    </w:p>
    <w:p w14:paraId="40D60CA5" w14:textId="5B982C76" w:rsidR="008928A8" w:rsidRPr="00382599" w:rsidRDefault="008928A8" w:rsidP="00382599">
      <w:pPr>
        <w:autoSpaceDE w:val="0"/>
        <w:autoSpaceDN w:val="0"/>
        <w:spacing w:before="72" w:after="72"/>
        <w:ind w:left="360"/>
        <w:rPr>
          <w:rFonts w:cstheme="minorHAnsi"/>
          <w:sz w:val="24"/>
          <w:szCs w:val="24"/>
        </w:rPr>
      </w:pPr>
      <w:r w:rsidRPr="00382599">
        <w:rPr>
          <w:rFonts w:cstheme="minorHAnsi"/>
          <w:b/>
          <w:bCs/>
          <w:color w:val="000000"/>
          <w:sz w:val="24"/>
          <w:szCs w:val="24"/>
        </w:rPr>
        <w:t xml:space="preserve">Work Closeout: </w:t>
      </w:r>
    </w:p>
    <w:p w14:paraId="6EAFE43D" w14:textId="77777777" w:rsidR="008928A8" w:rsidRPr="00382599" w:rsidRDefault="008928A8" w:rsidP="00382599">
      <w:pPr>
        <w:pStyle w:val="ListParagraph"/>
        <w:numPr>
          <w:ilvl w:val="0"/>
          <w:numId w:val="35"/>
        </w:numPr>
        <w:rPr>
          <w:rFonts w:cstheme="minorHAnsi"/>
          <w:sz w:val="24"/>
          <w:szCs w:val="24"/>
        </w:rPr>
      </w:pPr>
      <w:r w:rsidRPr="00382599">
        <w:rPr>
          <w:rFonts w:cstheme="minorHAnsi"/>
          <w:sz w:val="24"/>
          <w:szCs w:val="24"/>
        </w:rPr>
        <w:t xml:space="preserve">A fire watch shall be maintained for at least 30 minutes after completion of hot work operations </w:t>
      </w:r>
      <w:proofErr w:type="gramStart"/>
      <w:r w:rsidRPr="00382599">
        <w:rPr>
          <w:rFonts w:cstheme="minorHAnsi"/>
          <w:sz w:val="24"/>
          <w:szCs w:val="24"/>
        </w:rPr>
        <w:t>in order to</w:t>
      </w:r>
      <w:proofErr w:type="gramEnd"/>
      <w:r w:rsidRPr="00382599">
        <w:rPr>
          <w:rFonts w:cstheme="minorHAnsi"/>
          <w:sz w:val="24"/>
          <w:szCs w:val="24"/>
        </w:rPr>
        <w:t xml:space="preserve"> detect and extinguish smoldering fires.</w:t>
      </w:r>
    </w:p>
    <w:p w14:paraId="6CD3F13E" w14:textId="77777777" w:rsidR="008928A8" w:rsidRPr="00382599" w:rsidRDefault="008928A8" w:rsidP="00382599">
      <w:pPr>
        <w:pStyle w:val="ListParagraph"/>
        <w:numPr>
          <w:ilvl w:val="0"/>
          <w:numId w:val="35"/>
        </w:numPr>
        <w:rPr>
          <w:rFonts w:cstheme="minorHAnsi"/>
          <w:sz w:val="24"/>
          <w:szCs w:val="24"/>
        </w:rPr>
      </w:pPr>
      <w:r w:rsidRPr="00382599">
        <w:rPr>
          <w:rFonts w:cstheme="minorHAnsi"/>
          <w:sz w:val="24"/>
          <w:szCs w:val="24"/>
        </w:rPr>
        <w:t>The Hot Work Leader (HWL) shall inspect the job site 30 minutes following completion of hot work and close out the permit with the time and date of the final check.</w:t>
      </w:r>
    </w:p>
    <w:p w14:paraId="19DAC5BF" w14:textId="1D5602A8" w:rsidR="008928A8" w:rsidRPr="00756319" w:rsidRDefault="008928A8" w:rsidP="00382599">
      <w:pPr>
        <w:pStyle w:val="ListParagraph"/>
        <w:numPr>
          <w:ilvl w:val="0"/>
          <w:numId w:val="35"/>
        </w:numPr>
        <w:rPr>
          <w:rFonts w:cstheme="minorHAnsi"/>
          <w:sz w:val="24"/>
          <w:szCs w:val="24"/>
        </w:rPr>
      </w:pPr>
      <w:r w:rsidRPr="00756319">
        <w:rPr>
          <w:rFonts w:cstheme="minorHAnsi"/>
          <w:sz w:val="24"/>
          <w:szCs w:val="24"/>
        </w:rPr>
        <w:t>The completed Hot Work Permit shall be retained for 1 year following completion of the project by the HWL or Manager of the HWL.</w:t>
      </w:r>
    </w:p>
    <w:p w14:paraId="1E0A525F" w14:textId="73E3C689" w:rsidR="008928A8" w:rsidRPr="00B73669" w:rsidRDefault="008928A8" w:rsidP="00382599">
      <w:pPr>
        <w:pStyle w:val="Heading1"/>
      </w:pPr>
      <w:bookmarkStart w:id="25" w:name="_Toc320712975"/>
      <w:r w:rsidRPr="00382599">
        <w:lastRenderedPageBreak/>
        <w:t>TRAINING</w:t>
      </w:r>
      <w:r w:rsidRPr="00B73669">
        <w:t xml:space="preserve"> AND EDUCATION</w:t>
      </w:r>
      <w:bookmarkEnd w:id="25"/>
    </w:p>
    <w:p w14:paraId="59E864BD" w14:textId="77777777" w:rsidR="008928A8" w:rsidRDefault="008928A8" w:rsidP="008928A8">
      <w:pPr>
        <w:tabs>
          <w:tab w:val="left" w:pos="864"/>
          <w:tab w:val="left" w:pos="1152"/>
          <w:tab w:val="left" w:pos="1440"/>
          <w:tab w:val="left" w:pos="1728"/>
          <w:tab w:val="left" w:pos="2016"/>
          <w:tab w:val="left" w:pos="2304"/>
          <w:tab w:val="left" w:pos="2592"/>
          <w:tab w:val="left" w:pos="2880"/>
        </w:tabs>
        <w:rPr>
          <w:rFonts w:ascii="Calibri" w:hAnsi="Calibri" w:cs="Calibri"/>
        </w:rPr>
      </w:pPr>
      <w:r w:rsidRPr="00F36613">
        <w:rPr>
          <w:rFonts w:ascii="Calibri" w:hAnsi="Calibri" w:cs="Calibri"/>
        </w:rPr>
        <w:t xml:space="preserve">Training and education </w:t>
      </w:r>
      <w:proofErr w:type="gramStart"/>
      <w:r w:rsidRPr="00F36613">
        <w:rPr>
          <w:rFonts w:ascii="Calibri" w:hAnsi="Calibri" w:cs="Calibri"/>
        </w:rPr>
        <w:t>is</w:t>
      </w:r>
      <w:proofErr w:type="gramEnd"/>
      <w:r w:rsidRPr="00F36613">
        <w:rPr>
          <w:rFonts w:ascii="Calibri" w:hAnsi="Calibri" w:cs="Calibri"/>
        </w:rPr>
        <w:t xml:space="preserve"> an annual program requirement for all affected employees and their supervisors.  Employees shall be trained to ensure understanding and acceptance of program benefits.  All employees, supervisors, and managers involved in performing or authorizing hot work are trained in the hazards of hot work and the requirements of this program.  Training programs shall be designed to meet the facility needs.  Training for fire watch and hot work personnel shall address</w:t>
      </w:r>
      <w:r>
        <w:rPr>
          <w:rFonts w:ascii="Calibri" w:hAnsi="Calibri" w:cs="Calibri"/>
        </w:rPr>
        <w:t xml:space="preserve"> the following:</w:t>
      </w:r>
    </w:p>
    <w:p w14:paraId="5E31BA47"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Hazards that can be created by hot work.</w:t>
      </w:r>
    </w:p>
    <w:p w14:paraId="34C42357"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How to avoid hot work using alternate methods.</w:t>
      </w:r>
    </w:p>
    <w:p w14:paraId="638C8982"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Hot work permitting process and use of hot work permit system.</w:t>
      </w:r>
    </w:p>
    <w:p w14:paraId="21843651"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 xml:space="preserve">Documentation </w:t>
      </w:r>
      <w:r>
        <w:rPr>
          <w:rFonts w:ascii="Calibri" w:hAnsi="Calibri" w:cs="Calibri"/>
        </w:rPr>
        <w:t>r</w:t>
      </w:r>
      <w:r w:rsidRPr="00F36613">
        <w:rPr>
          <w:rFonts w:ascii="Calibri" w:hAnsi="Calibri" w:cs="Calibri"/>
        </w:rPr>
        <w:t>equirements</w:t>
      </w:r>
    </w:p>
    <w:p w14:paraId="68247F17"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Responsibilities</w:t>
      </w:r>
    </w:p>
    <w:p w14:paraId="5B2C8200"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Operation of fire extinguishers.</w:t>
      </w:r>
    </w:p>
    <w:p w14:paraId="55842260"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Recognition of fire characteristics, when fire extinguishers can be effective, and when the fire has gone beyond the incipient stage.</w:t>
      </w:r>
    </w:p>
    <w:p w14:paraId="492797B0" w14:textId="77777777" w:rsidR="008928A8" w:rsidRPr="00F36613" w:rsidRDefault="008928A8" w:rsidP="008928A8">
      <w:pPr>
        <w:pStyle w:val="NormalWeb"/>
        <w:numPr>
          <w:ilvl w:val="0"/>
          <w:numId w:val="32"/>
        </w:numPr>
        <w:spacing w:before="0" w:beforeAutospacing="0" w:after="0" w:afterAutospacing="0" w:line="240" w:lineRule="auto"/>
        <w:rPr>
          <w:rFonts w:ascii="Calibri" w:hAnsi="Calibri" w:cs="Calibri"/>
        </w:rPr>
      </w:pPr>
      <w:r w:rsidRPr="00F36613">
        <w:rPr>
          <w:rFonts w:ascii="Calibri" w:hAnsi="Calibri" w:cs="Calibri"/>
        </w:rPr>
        <w:t xml:space="preserve">Emergency notification procedures for the location. </w:t>
      </w:r>
    </w:p>
    <w:p w14:paraId="6CC3AE5C" w14:textId="77777777" w:rsidR="00382599" w:rsidRDefault="00382599" w:rsidP="008928A8">
      <w:pPr>
        <w:tabs>
          <w:tab w:val="left" w:pos="864"/>
          <w:tab w:val="left" w:pos="1152"/>
          <w:tab w:val="left" w:pos="1440"/>
          <w:tab w:val="left" w:pos="1728"/>
          <w:tab w:val="left" w:pos="2016"/>
          <w:tab w:val="left" w:pos="2304"/>
          <w:tab w:val="left" w:pos="2592"/>
          <w:tab w:val="left" w:pos="2880"/>
        </w:tabs>
        <w:rPr>
          <w:rFonts w:ascii="Calibri" w:hAnsi="Calibri" w:cs="Calibri"/>
        </w:rPr>
      </w:pPr>
    </w:p>
    <w:p w14:paraId="1F4B5E23" w14:textId="40E3ABF1" w:rsidR="008928A8" w:rsidRDefault="008928A8" w:rsidP="008928A8">
      <w:pPr>
        <w:tabs>
          <w:tab w:val="left" w:pos="864"/>
          <w:tab w:val="left" w:pos="1152"/>
          <w:tab w:val="left" w:pos="1440"/>
          <w:tab w:val="left" w:pos="1728"/>
          <w:tab w:val="left" w:pos="2016"/>
          <w:tab w:val="left" w:pos="2304"/>
          <w:tab w:val="left" w:pos="2592"/>
          <w:tab w:val="left" w:pos="2880"/>
        </w:tabs>
        <w:rPr>
          <w:rFonts w:ascii="Calibri" w:hAnsi="Calibri" w:cs="Calibri"/>
        </w:rPr>
      </w:pPr>
      <w:r w:rsidRPr="00F36613">
        <w:rPr>
          <w:rFonts w:ascii="Calibri" w:hAnsi="Calibri" w:cs="Calibri"/>
        </w:rPr>
        <w:t>The date, content of training, trainer, and trainees for all training shall be documented and</w:t>
      </w:r>
      <w:r w:rsidR="00756319">
        <w:rPr>
          <w:rFonts w:ascii="Calibri" w:hAnsi="Calibri" w:cs="Calibri"/>
        </w:rPr>
        <w:t xml:space="preserve"> shall be</w:t>
      </w:r>
      <w:r w:rsidRPr="00F36613">
        <w:rPr>
          <w:rFonts w:ascii="Calibri" w:hAnsi="Calibri" w:cs="Calibri"/>
        </w:rPr>
        <w:t xml:space="preserve"> </w:t>
      </w:r>
      <w:r w:rsidRPr="00756319">
        <w:rPr>
          <w:rFonts w:ascii="Calibri" w:hAnsi="Calibri" w:cs="Calibri"/>
        </w:rPr>
        <w:t xml:space="preserve">retained </w:t>
      </w:r>
      <w:r w:rsidR="00756319" w:rsidRPr="00756319">
        <w:rPr>
          <w:rFonts w:ascii="Calibri" w:hAnsi="Calibri" w:cs="Calibri"/>
        </w:rPr>
        <w:t xml:space="preserve">for 3 years by the Safety Manager.  </w:t>
      </w:r>
    </w:p>
    <w:p w14:paraId="7BFB2AA7" w14:textId="77777777" w:rsidR="00161598" w:rsidRPr="00E53469" w:rsidRDefault="00161598" w:rsidP="00382599">
      <w:pPr>
        <w:pStyle w:val="Heading1"/>
      </w:pPr>
      <w:r w:rsidRPr="00382599">
        <w:t>Revision</w:t>
      </w:r>
      <w:r w:rsidRPr="00E53469">
        <w:t xml:space="preserve"> History</w:t>
      </w:r>
    </w:p>
    <w:p w14:paraId="390FC513" w14:textId="77777777" w:rsidR="00161598" w:rsidRPr="00E53469" w:rsidRDefault="00161598" w:rsidP="00161598">
      <w:pPr>
        <w:rPr>
          <w:rFonts w:ascii="Calibri" w:hAnsi="Calibri" w:cs="Calibr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167"/>
        <w:gridCol w:w="3129"/>
        <w:gridCol w:w="1710"/>
        <w:gridCol w:w="2381"/>
      </w:tblGrid>
      <w:tr w:rsidR="00161598" w:rsidRPr="00E53469" w14:paraId="5C4A34D6" w14:textId="77777777" w:rsidTr="006833F2">
        <w:tc>
          <w:tcPr>
            <w:tcW w:w="1189" w:type="dxa"/>
            <w:tcBorders>
              <w:top w:val="single" w:sz="4" w:space="0" w:color="auto"/>
              <w:left w:val="single" w:sz="4" w:space="0" w:color="auto"/>
              <w:bottom w:val="single" w:sz="4" w:space="0" w:color="auto"/>
              <w:right w:val="single" w:sz="4" w:space="0" w:color="auto"/>
            </w:tcBorders>
            <w:shd w:val="clear" w:color="auto" w:fill="auto"/>
          </w:tcPr>
          <w:p w14:paraId="2D08295E" w14:textId="77777777" w:rsidR="00161598" w:rsidRPr="00E53469" w:rsidRDefault="00161598" w:rsidP="00791A24">
            <w:pPr>
              <w:rPr>
                <w:rFonts w:ascii="Calibri" w:hAnsi="Calibri" w:cs="Calibri"/>
              </w:rPr>
            </w:pPr>
            <w:r w:rsidRPr="00E53469">
              <w:rPr>
                <w:rFonts w:ascii="Calibri" w:hAnsi="Calibri" w:cs="Calibri"/>
              </w:rPr>
              <w:t>Revision</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D27CF38" w14:textId="77777777" w:rsidR="00161598" w:rsidRPr="00E53469" w:rsidRDefault="00161598" w:rsidP="00791A24">
            <w:pPr>
              <w:rPr>
                <w:rFonts w:ascii="Calibri" w:hAnsi="Calibri" w:cs="Calibri"/>
              </w:rPr>
            </w:pPr>
            <w:r w:rsidRPr="00E53469">
              <w:rPr>
                <w:rFonts w:ascii="Calibri" w:hAnsi="Calibri" w:cs="Calibri"/>
              </w:rPr>
              <w:t>Date</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B45698A" w14:textId="77777777" w:rsidR="00161598" w:rsidRPr="00E53469" w:rsidRDefault="00161598" w:rsidP="00791A24">
            <w:pPr>
              <w:rPr>
                <w:rFonts w:ascii="Calibri" w:hAnsi="Calibri" w:cs="Calibri"/>
              </w:rPr>
            </w:pPr>
            <w:r w:rsidRPr="00E53469">
              <w:rPr>
                <w:rFonts w:ascii="Calibri" w:hAnsi="Calibri" w:cs="Calibri"/>
              </w:rPr>
              <w:t>Summary of change</w:t>
            </w:r>
          </w:p>
        </w:tc>
        <w:tc>
          <w:tcPr>
            <w:tcW w:w="1710" w:type="dxa"/>
            <w:tcBorders>
              <w:top w:val="single" w:sz="4" w:space="0" w:color="auto"/>
              <w:left w:val="single" w:sz="4" w:space="0" w:color="auto"/>
              <w:bottom w:val="single" w:sz="4" w:space="0" w:color="auto"/>
              <w:right w:val="single" w:sz="4" w:space="0" w:color="auto"/>
            </w:tcBorders>
          </w:tcPr>
          <w:p w14:paraId="60EEB6F0" w14:textId="77777777" w:rsidR="00161598" w:rsidRPr="00E53469" w:rsidRDefault="00161598" w:rsidP="00791A24">
            <w:pPr>
              <w:rPr>
                <w:rFonts w:ascii="Calibri" w:hAnsi="Calibri" w:cs="Calibri"/>
              </w:rPr>
            </w:pPr>
            <w:r w:rsidRPr="00E53469">
              <w:rPr>
                <w:rFonts w:ascii="Calibri" w:hAnsi="Calibri" w:cs="Calibri"/>
              </w:rPr>
              <w:t>Author</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ECECEE" w14:textId="77777777" w:rsidR="00161598" w:rsidRPr="00E53469" w:rsidRDefault="00161598" w:rsidP="00791A24">
            <w:pPr>
              <w:rPr>
                <w:rFonts w:ascii="Calibri" w:hAnsi="Calibri" w:cs="Calibri"/>
              </w:rPr>
            </w:pPr>
            <w:r w:rsidRPr="00E53469">
              <w:rPr>
                <w:rFonts w:ascii="Calibri" w:hAnsi="Calibri" w:cs="Calibri"/>
              </w:rPr>
              <w:t>Approver</w:t>
            </w:r>
          </w:p>
        </w:tc>
      </w:tr>
      <w:tr w:rsidR="006833F2" w:rsidRPr="00E53469" w14:paraId="37EC0822" w14:textId="77777777" w:rsidTr="006833F2">
        <w:tc>
          <w:tcPr>
            <w:tcW w:w="1189" w:type="dxa"/>
            <w:tcBorders>
              <w:top w:val="single" w:sz="4" w:space="0" w:color="auto"/>
              <w:left w:val="single" w:sz="4" w:space="0" w:color="auto"/>
              <w:bottom w:val="single" w:sz="4" w:space="0" w:color="auto"/>
              <w:right w:val="single" w:sz="4" w:space="0" w:color="auto"/>
            </w:tcBorders>
            <w:shd w:val="clear" w:color="auto" w:fill="auto"/>
          </w:tcPr>
          <w:p w14:paraId="25D9CF6F" w14:textId="77777777" w:rsidR="006833F2" w:rsidRPr="00E53469" w:rsidRDefault="006833F2" w:rsidP="006833F2">
            <w:pPr>
              <w:rPr>
                <w:rFonts w:ascii="Calibri" w:hAnsi="Calibri" w:cs="Calibri"/>
                <w:b/>
              </w:rPr>
            </w:pPr>
            <w:r w:rsidRPr="00E53469">
              <w:rPr>
                <w:rFonts w:ascii="Calibri" w:hAnsi="Calibri" w:cs="Calibri"/>
              </w:rPr>
              <w:t>A</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2FF79910" w14:textId="3609AE2B" w:rsidR="006833F2" w:rsidRPr="006833F2" w:rsidRDefault="006833F2" w:rsidP="006833F2">
            <w:pPr>
              <w:rPr>
                <w:rFonts w:ascii="Calibri" w:hAnsi="Calibri" w:cs="Calibri"/>
              </w:rPr>
            </w:pPr>
            <w:r w:rsidRPr="006833F2">
              <w:rPr>
                <w:rFonts w:ascii="Calibri" w:hAnsi="Calibri" w:cs="Calibri"/>
              </w:rPr>
              <w:t>9/22/2020</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8B7B615" w14:textId="77777777" w:rsidR="006833F2" w:rsidRPr="006833F2" w:rsidRDefault="006833F2" w:rsidP="006833F2">
            <w:pPr>
              <w:rPr>
                <w:rFonts w:ascii="Calibri" w:hAnsi="Calibri" w:cs="Calibri"/>
              </w:rPr>
            </w:pPr>
            <w:r w:rsidRPr="006833F2">
              <w:rPr>
                <w:rFonts w:ascii="Calibri" w:hAnsi="Calibri" w:cs="Calibri"/>
              </w:rPr>
              <w:t>Initial issue</w:t>
            </w:r>
          </w:p>
        </w:tc>
        <w:tc>
          <w:tcPr>
            <w:tcW w:w="1710" w:type="dxa"/>
            <w:tcBorders>
              <w:top w:val="single" w:sz="4" w:space="0" w:color="auto"/>
              <w:left w:val="single" w:sz="4" w:space="0" w:color="auto"/>
              <w:bottom w:val="single" w:sz="4" w:space="0" w:color="auto"/>
              <w:right w:val="single" w:sz="4" w:space="0" w:color="auto"/>
            </w:tcBorders>
          </w:tcPr>
          <w:p w14:paraId="578FD61B" w14:textId="77777777" w:rsidR="006833F2" w:rsidRDefault="006833F2" w:rsidP="006833F2">
            <w:pPr>
              <w:spacing w:after="0" w:line="240" w:lineRule="auto"/>
            </w:pPr>
            <w:r>
              <w:t>Kurt Rayburg</w:t>
            </w:r>
          </w:p>
          <w:p w14:paraId="4AD1111B" w14:textId="4415B5EE" w:rsidR="006833F2" w:rsidRPr="006833F2" w:rsidRDefault="006833F2" w:rsidP="006833F2">
            <w:pPr>
              <w:rPr>
                <w:rFonts w:ascii="Calibri" w:hAnsi="Calibri" w:cs="Calibri"/>
              </w:rPr>
            </w:pPr>
            <w:r>
              <w:t>J. Curtiss Fox</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FF1496D" w14:textId="77777777" w:rsidR="006833F2" w:rsidRDefault="006833F2" w:rsidP="006833F2">
            <w:pPr>
              <w:spacing w:after="0" w:line="240" w:lineRule="auto"/>
            </w:pPr>
            <w:r>
              <w:t>Kurt Rayburg</w:t>
            </w:r>
          </w:p>
          <w:p w14:paraId="369A8588" w14:textId="77777777" w:rsidR="006833F2" w:rsidRDefault="006833F2" w:rsidP="006833F2">
            <w:pPr>
              <w:spacing w:after="0" w:line="240" w:lineRule="auto"/>
            </w:pPr>
            <w:r>
              <w:t>Randy Collins</w:t>
            </w:r>
          </w:p>
          <w:p w14:paraId="61018F51" w14:textId="77777777" w:rsidR="006833F2" w:rsidRDefault="006833F2" w:rsidP="006833F2">
            <w:pPr>
              <w:spacing w:after="0" w:line="240" w:lineRule="auto"/>
            </w:pPr>
            <w:r>
              <w:t>J. Curtiss Fox</w:t>
            </w:r>
          </w:p>
          <w:p w14:paraId="13E3F942" w14:textId="77777777" w:rsidR="006833F2" w:rsidRDefault="006833F2" w:rsidP="006833F2">
            <w:pPr>
              <w:spacing w:after="0" w:line="240" w:lineRule="auto"/>
            </w:pPr>
            <w:r>
              <w:t>Tom Salem</w:t>
            </w:r>
          </w:p>
          <w:p w14:paraId="2BDE22DB" w14:textId="77777777" w:rsidR="006833F2" w:rsidRDefault="006833F2" w:rsidP="006833F2">
            <w:pPr>
              <w:spacing w:after="0" w:line="240" w:lineRule="auto"/>
            </w:pPr>
            <w:r>
              <w:t>Jesse Leonard</w:t>
            </w:r>
          </w:p>
          <w:p w14:paraId="03EC0926" w14:textId="77777777" w:rsidR="006833F2" w:rsidRDefault="006833F2" w:rsidP="006833F2">
            <w:pPr>
              <w:spacing w:after="0" w:line="240" w:lineRule="auto"/>
            </w:pPr>
            <w:r>
              <w:t>Jim Tuten</w:t>
            </w:r>
          </w:p>
          <w:p w14:paraId="1127A543" w14:textId="77777777" w:rsidR="006833F2" w:rsidRDefault="006833F2" w:rsidP="006833F2">
            <w:pPr>
              <w:spacing w:after="0" w:line="240" w:lineRule="auto"/>
            </w:pPr>
            <w:r>
              <w:t>Nancy LaFlair</w:t>
            </w:r>
          </w:p>
          <w:p w14:paraId="518A0B9B" w14:textId="38FBC67E" w:rsidR="006833F2" w:rsidRPr="00E53469" w:rsidRDefault="006833F2" w:rsidP="006833F2">
            <w:pPr>
              <w:rPr>
                <w:rFonts w:ascii="Calibri" w:hAnsi="Calibri" w:cs="Calibri"/>
                <w:b/>
              </w:rPr>
            </w:pPr>
            <w:r>
              <w:t>Konstantin Bulgakov</w:t>
            </w:r>
          </w:p>
        </w:tc>
      </w:tr>
      <w:tr w:rsidR="00161598" w:rsidRPr="00E53469" w14:paraId="05DC10BC" w14:textId="77777777" w:rsidTr="006833F2">
        <w:trPr>
          <w:trHeight w:val="576"/>
        </w:trPr>
        <w:tc>
          <w:tcPr>
            <w:tcW w:w="1189" w:type="dxa"/>
            <w:tcBorders>
              <w:top w:val="single" w:sz="4" w:space="0" w:color="auto"/>
              <w:left w:val="single" w:sz="4" w:space="0" w:color="auto"/>
              <w:bottom w:val="single" w:sz="4" w:space="0" w:color="auto"/>
              <w:right w:val="single" w:sz="4" w:space="0" w:color="auto"/>
            </w:tcBorders>
            <w:shd w:val="clear" w:color="auto" w:fill="auto"/>
          </w:tcPr>
          <w:p w14:paraId="7500DD7C" w14:textId="77777777" w:rsidR="00161598" w:rsidRPr="00E53469" w:rsidRDefault="00161598" w:rsidP="00791A24">
            <w:pPr>
              <w:rPr>
                <w:rFonts w:ascii="Calibri" w:hAnsi="Calibri" w:cs="Calibri"/>
                <w:b/>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D3DD5C8" w14:textId="77777777" w:rsidR="00161598" w:rsidRPr="00E53469" w:rsidRDefault="00161598" w:rsidP="00791A24">
            <w:pPr>
              <w:rPr>
                <w:rFonts w:ascii="Calibri" w:hAnsi="Calibri" w:cs="Calibri"/>
                <w:b/>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83F3DB0" w14:textId="77777777" w:rsidR="00161598" w:rsidRPr="00E53469" w:rsidRDefault="00161598" w:rsidP="00791A24">
            <w:pPr>
              <w:rPr>
                <w:rFonts w:ascii="Calibri" w:hAnsi="Calibri" w:cs="Calibri"/>
              </w:rPr>
            </w:pPr>
          </w:p>
        </w:tc>
        <w:tc>
          <w:tcPr>
            <w:tcW w:w="1710" w:type="dxa"/>
            <w:tcBorders>
              <w:top w:val="single" w:sz="4" w:space="0" w:color="auto"/>
              <w:left w:val="single" w:sz="4" w:space="0" w:color="auto"/>
              <w:bottom w:val="single" w:sz="4" w:space="0" w:color="auto"/>
              <w:right w:val="single" w:sz="4" w:space="0" w:color="auto"/>
            </w:tcBorders>
          </w:tcPr>
          <w:p w14:paraId="7D2E4F38" w14:textId="77777777" w:rsidR="00161598" w:rsidRPr="00E53469" w:rsidRDefault="00161598" w:rsidP="00791A24">
            <w:pPr>
              <w:rPr>
                <w:rFonts w:ascii="Calibri" w:hAnsi="Calibri" w:cs="Calibri"/>
                <w:b/>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4A1FFB7" w14:textId="77777777" w:rsidR="00161598" w:rsidRPr="00E53469" w:rsidRDefault="00161598" w:rsidP="00791A24">
            <w:pPr>
              <w:rPr>
                <w:rFonts w:ascii="Calibri" w:hAnsi="Calibri" w:cs="Calibri"/>
                <w:b/>
              </w:rPr>
            </w:pPr>
          </w:p>
        </w:tc>
      </w:tr>
    </w:tbl>
    <w:p w14:paraId="667ABC82" w14:textId="77777777" w:rsidR="00161598" w:rsidRPr="00E53469" w:rsidRDefault="00161598" w:rsidP="00161598">
      <w:pPr>
        <w:rPr>
          <w:rFonts w:ascii="Calibri" w:hAnsi="Calibri" w:cs="Calibri"/>
        </w:rPr>
      </w:pPr>
    </w:p>
    <w:p w14:paraId="6E6644A2" w14:textId="77777777" w:rsidR="00161598" w:rsidRPr="00E53469" w:rsidRDefault="00161598" w:rsidP="00161598">
      <w:pPr>
        <w:rPr>
          <w:rFonts w:ascii="Calibri" w:hAnsi="Calibri" w:cs="Calibri"/>
          <w:lang w:eastAsia="ja-JP"/>
        </w:rPr>
      </w:pPr>
    </w:p>
    <w:sectPr w:rsidR="00161598" w:rsidRPr="00E5346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FE66" w14:textId="77777777" w:rsidR="00117976" w:rsidRDefault="00117976" w:rsidP="00DB3BB3">
      <w:r>
        <w:separator/>
      </w:r>
    </w:p>
  </w:endnote>
  <w:endnote w:type="continuationSeparator" w:id="0">
    <w:p w14:paraId="56F1B3F9" w14:textId="77777777" w:rsidR="00117976" w:rsidRDefault="00117976" w:rsidP="00DB3BB3">
      <w:r>
        <w:continuationSeparator/>
      </w:r>
    </w:p>
  </w:endnote>
  <w:endnote w:type="continuationNotice" w:id="1">
    <w:p w14:paraId="3054A3F7" w14:textId="77777777" w:rsidR="00117976" w:rsidRDefault="00117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F1CA2" w14:paraId="63155B15" w14:textId="77777777">
      <w:tc>
        <w:tcPr>
          <w:tcW w:w="918" w:type="dxa"/>
        </w:tcPr>
        <w:p w14:paraId="354E9BAF" w14:textId="027DF340" w:rsidR="008F1CA2" w:rsidRPr="00834F8D" w:rsidRDefault="008F1CA2">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6833F2" w:rsidRPr="006833F2">
            <w:rPr>
              <w:rFonts w:ascii="Arial" w:hAnsi="Arial" w:cs="Arial"/>
              <w:b/>
              <w:bCs/>
              <w:noProof/>
              <w14:shadow w14:blurRad="50800" w14:dist="38100" w14:dir="2700000" w14:sx="100000" w14:sy="100000" w14:kx="0" w14:ky="0" w14:algn="tl">
                <w14:srgbClr w14:val="000000">
                  <w14:alpha w14:val="60000"/>
                </w14:srgbClr>
              </w14:shadow>
              <w14:numForm w14:val="oldStyle"/>
            </w:rPr>
            <w:t>7</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8F1CA2" w:rsidRPr="00A45FF1" w:rsidRDefault="008F1CA2"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50628D94" w:rsidR="008F1CA2" w:rsidRPr="00A45FF1" w:rsidRDefault="008F1CA2"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r w:rsidR="00BB560B">
            <w:rPr>
              <w:rFonts w:ascii="Arial" w:hAnsi="Arial" w:cs="Arial"/>
              <w:noProof/>
            </w:rPr>
            <w:t>12/1/2022</w:t>
          </w:r>
          <w:r w:rsidRPr="00A45FF1">
            <w:rPr>
              <w:rFonts w:ascii="Arial" w:hAnsi="Arial" w:cs="Arial"/>
            </w:rPr>
            <w:fldChar w:fldCharType="end"/>
          </w:r>
        </w:p>
      </w:tc>
    </w:tr>
  </w:tbl>
  <w:p w14:paraId="455425D8" w14:textId="77777777" w:rsidR="008F1CA2" w:rsidRDefault="008F1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CB3C" w14:textId="77777777" w:rsidR="00117976" w:rsidRDefault="00117976" w:rsidP="00DB3BB3">
      <w:r>
        <w:separator/>
      </w:r>
    </w:p>
  </w:footnote>
  <w:footnote w:type="continuationSeparator" w:id="0">
    <w:p w14:paraId="5ADB7BC8" w14:textId="77777777" w:rsidR="00117976" w:rsidRDefault="00117976" w:rsidP="00DB3BB3">
      <w:r>
        <w:continuationSeparator/>
      </w:r>
    </w:p>
  </w:footnote>
  <w:footnote w:type="continuationNotice" w:id="1">
    <w:p w14:paraId="7A2AB4BC" w14:textId="77777777" w:rsidR="00117976" w:rsidRDefault="00117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8F1CA2" w:rsidRPr="00383BA6" w14:paraId="08506F33" w14:textId="77777777" w:rsidTr="00A56EDC">
      <w:trPr>
        <w:trHeight w:val="885"/>
      </w:trPr>
      <w:tc>
        <w:tcPr>
          <w:tcW w:w="3798" w:type="dxa"/>
          <w:gridSpan w:val="2"/>
          <w:tcBorders>
            <w:right w:val="nil"/>
          </w:tcBorders>
        </w:tcPr>
        <w:p w14:paraId="127F4A19" w14:textId="404698A5" w:rsidR="008F1CA2" w:rsidRPr="00383BA6" w:rsidRDefault="008F1CA2" w:rsidP="00A56EDC">
          <w:pPr>
            <w:pStyle w:val="Header"/>
            <w:rPr>
              <w:rFonts w:ascii="Arial" w:hAnsi="Arial" w:cs="Arial"/>
              <w:i/>
              <w:sz w:val="18"/>
            </w:rPr>
          </w:pPr>
          <w:r>
            <w:rPr>
              <w:noProof/>
            </w:rPr>
            <w:drawing>
              <wp:inline distT="0" distB="0" distL="0" distR="0" wp14:anchorId="6F5AC988" wp14:editId="2EC926FD">
                <wp:extent cx="2342951" cy="469900"/>
                <wp:effectExtent l="0" t="0" r="635" b="6350"/>
                <wp:docPr id="4216737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8F1CA2" w:rsidRPr="00383BA6" w:rsidRDefault="008F1CA2" w:rsidP="00630984">
          <w:pPr>
            <w:pStyle w:val="Header"/>
            <w:rPr>
              <w:rFonts w:ascii="Arial" w:hAnsi="Arial" w:cs="Arial"/>
              <w:i/>
              <w:sz w:val="18"/>
              <w:szCs w:val="18"/>
            </w:rPr>
          </w:pPr>
          <w:r>
            <w:rPr>
              <w:rFonts w:ascii="Arial" w:hAnsi="Arial" w:cs="Arial"/>
              <w:i/>
              <w:sz w:val="18"/>
              <w:szCs w:val="18"/>
            </w:rPr>
            <w:t>Document Title</w:t>
          </w:r>
        </w:p>
        <w:p w14:paraId="7E546FC2" w14:textId="4FAA5FC8" w:rsidR="008F1CA2" w:rsidRPr="00A45FF1" w:rsidRDefault="008928A8" w:rsidP="00B573F4">
          <w:pPr>
            <w:pStyle w:val="Header"/>
            <w:rPr>
              <w:rFonts w:ascii="Arial" w:hAnsi="Arial" w:cs="Arial"/>
              <w:b/>
            </w:rPr>
          </w:pPr>
          <w:r>
            <w:rPr>
              <w:rFonts w:ascii="Arial" w:hAnsi="Arial" w:cs="Arial"/>
              <w:b/>
            </w:rPr>
            <w:t>Hot Work Procedure</w:t>
          </w:r>
        </w:p>
      </w:tc>
    </w:tr>
    <w:tr w:rsidR="008F1CA2" w:rsidRPr="00383BA6" w14:paraId="3A20031F" w14:textId="77777777" w:rsidTr="00B573F4">
      <w:trPr>
        <w:trHeight w:val="273"/>
      </w:trPr>
      <w:tc>
        <w:tcPr>
          <w:tcW w:w="2376" w:type="dxa"/>
        </w:tcPr>
        <w:p w14:paraId="5EA72F7C" w14:textId="5374488D" w:rsidR="008F1CA2" w:rsidRPr="00383BA6" w:rsidRDefault="008F1CA2"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7FC95575" w:rsidR="008F1CA2" w:rsidRPr="00383BA6" w:rsidRDefault="00756319" w:rsidP="00B10463">
          <w:pPr>
            <w:pStyle w:val="Header"/>
            <w:jc w:val="center"/>
            <w:rPr>
              <w:rFonts w:ascii="Arial" w:hAnsi="Arial" w:cs="Arial"/>
              <w:b/>
              <w:sz w:val="20"/>
            </w:rPr>
          </w:pPr>
          <w:r>
            <w:rPr>
              <w:rFonts w:ascii="Arial" w:hAnsi="Arial" w:cs="Arial"/>
              <w:b/>
              <w:sz w:val="20"/>
            </w:rPr>
            <w:t>22 SEPT 2020</w:t>
          </w:r>
        </w:p>
      </w:tc>
      <w:tc>
        <w:tcPr>
          <w:tcW w:w="2591" w:type="dxa"/>
          <w:gridSpan w:val="2"/>
        </w:tcPr>
        <w:p w14:paraId="728B149D" w14:textId="08EAE0B2" w:rsidR="008F1CA2" w:rsidRPr="00383BA6" w:rsidRDefault="008F1CA2" w:rsidP="00A56EDC">
          <w:pPr>
            <w:pStyle w:val="Header"/>
            <w:rPr>
              <w:rFonts w:ascii="Arial" w:hAnsi="Arial" w:cs="Arial"/>
              <w:i/>
              <w:sz w:val="18"/>
            </w:rPr>
          </w:pPr>
          <w:r>
            <w:rPr>
              <w:rFonts w:ascii="Arial" w:hAnsi="Arial" w:cs="Arial"/>
              <w:i/>
              <w:sz w:val="18"/>
            </w:rPr>
            <w:t>Origin Date</w:t>
          </w:r>
        </w:p>
        <w:p w14:paraId="5CA2BD4D" w14:textId="0C49BA18" w:rsidR="008F1CA2" w:rsidRPr="00383BA6" w:rsidRDefault="00756319" w:rsidP="00756319">
          <w:pPr>
            <w:pStyle w:val="Header"/>
            <w:jc w:val="center"/>
            <w:rPr>
              <w:rFonts w:ascii="Arial" w:hAnsi="Arial" w:cs="Arial"/>
              <w:b/>
              <w:sz w:val="20"/>
            </w:rPr>
          </w:pPr>
          <w:r>
            <w:rPr>
              <w:rFonts w:ascii="Arial" w:hAnsi="Arial" w:cs="Arial"/>
              <w:b/>
              <w:sz w:val="20"/>
            </w:rPr>
            <w:t>22 SEPT</w:t>
          </w:r>
          <w:r w:rsidR="008F1CA2">
            <w:rPr>
              <w:rFonts w:ascii="Arial" w:hAnsi="Arial" w:cs="Arial"/>
              <w:b/>
              <w:sz w:val="20"/>
            </w:rPr>
            <w:t xml:space="preserve"> 2020</w:t>
          </w:r>
        </w:p>
      </w:tc>
      <w:tc>
        <w:tcPr>
          <w:tcW w:w="2881" w:type="dxa"/>
        </w:tcPr>
        <w:p w14:paraId="6A450CF6" w14:textId="196DF526" w:rsidR="008F1CA2" w:rsidRDefault="008F1CA2" w:rsidP="00A56EDC">
          <w:pPr>
            <w:pStyle w:val="Header"/>
            <w:rPr>
              <w:rFonts w:ascii="Arial" w:hAnsi="Arial" w:cs="Arial"/>
              <w:i/>
              <w:sz w:val="18"/>
            </w:rPr>
          </w:pPr>
          <w:r>
            <w:rPr>
              <w:rFonts w:ascii="Arial" w:hAnsi="Arial" w:cs="Arial"/>
              <w:i/>
              <w:sz w:val="18"/>
            </w:rPr>
            <w:t>Document Number</w:t>
          </w:r>
        </w:p>
        <w:p w14:paraId="760F18F9" w14:textId="2F5DF89E" w:rsidR="008F1CA2" w:rsidRPr="00CB2887" w:rsidRDefault="008F1CA2" w:rsidP="008928A8">
          <w:pPr>
            <w:pStyle w:val="Header"/>
            <w:jc w:val="center"/>
            <w:rPr>
              <w:rFonts w:ascii="Arial" w:hAnsi="Arial" w:cs="Arial"/>
              <w:i/>
              <w:sz w:val="18"/>
            </w:rPr>
          </w:pPr>
          <w:r>
            <w:rPr>
              <w:rFonts w:ascii="Arial" w:hAnsi="Arial" w:cs="Arial"/>
              <w:b/>
            </w:rPr>
            <w:t>SOP-05</w:t>
          </w:r>
          <w:r w:rsidR="008928A8">
            <w:rPr>
              <w:rFonts w:ascii="Arial" w:hAnsi="Arial" w:cs="Arial"/>
              <w:b/>
            </w:rPr>
            <w:t>9</w:t>
          </w:r>
          <w:r>
            <w:rPr>
              <w:rFonts w:ascii="Arial" w:hAnsi="Arial" w:cs="Arial"/>
              <w:b/>
            </w:rPr>
            <w:t>-EIC</w:t>
          </w:r>
        </w:p>
      </w:tc>
      <w:tc>
        <w:tcPr>
          <w:tcW w:w="1620" w:type="dxa"/>
        </w:tcPr>
        <w:p w14:paraId="0217C24E" w14:textId="77777777" w:rsidR="008F1CA2" w:rsidRPr="00383BA6" w:rsidRDefault="008F1CA2" w:rsidP="00CB2887">
          <w:pPr>
            <w:pStyle w:val="Header"/>
            <w:rPr>
              <w:rFonts w:ascii="Arial" w:hAnsi="Arial" w:cs="Arial"/>
              <w:i/>
              <w:sz w:val="18"/>
              <w:szCs w:val="18"/>
            </w:rPr>
          </w:pPr>
          <w:r>
            <w:rPr>
              <w:rFonts w:ascii="Arial" w:hAnsi="Arial" w:cs="Arial"/>
              <w:i/>
              <w:sz w:val="18"/>
              <w:szCs w:val="18"/>
            </w:rPr>
            <w:t>Rev Level</w:t>
          </w:r>
        </w:p>
        <w:p w14:paraId="31919C25" w14:textId="6485EA9F" w:rsidR="008F1CA2" w:rsidRPr="005151F8" w:rsidRDefault="008F1CA2" w:rsidP="00CB2887">
          <w:pPr>
            <w:pStyle w:val="Header"/>
            <w:jc w:val="center"/>
            <w:rPr>
              <w:rFonts w:ascii="Arial" w:hAnsi="Arial" w:cs="Arial"/>
              <w:b/>
              <w:sz w:val="20"/>
              <w:szCs w:val="20"/>
            </w:rPr>
          </w:pPr>
          <w:r>
            <w:rPr>
              <w:rFonts w:ascii="Arial" w:hAnsi="Arial" w:cs="Arial"/>
              <w:b/>
            </w:rPr>
            <w:t>A</w:t>
          </w:r>
        </w:p>
      </w:tc>
    </w:tr>
  </w:tbl>
  <w:p w14:paraId="79248144" w14:textId="77777777" w:rsidR="008F1CA2" w:rsidRDefault="008F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C30"/>
    <w:multiLevelType w:val="hybridMultilevel"/>
    <w:tmpl w:val="0EE6D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03636"/>
    <w:multiLevelType w:val="hybridMultilevel"/>
    <w:tmpl w:val="085CF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63293"/>
    <w:multiLevelType w:val="hybridMultilevel"/>
    <w:tmpl w:val="FE8CC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246F8"/>
    <w:multiLevelType w:val="hybridMultilevel"/>
    <w:tmpl w:val="348EB960"/>
    <w:lvl w:ilvl="0" w:tplc="D48C7D96">
      <w:numFmt w:val="bullet"/>
      <w:lvlText w:val="•"/>
      <w:lvlJc w:val="left"/>
      <w:pPr>
        <w:ind w:left="960" w:hanging="600"/>
      </w:pPr>
      <w:rPr>
        <w:rFonts w:ascii="Calibri" w:eastAsia="Times New Roman" w:hAnsi="Calibri" w:cs="Calibri" w:hint="default"/>
      </w:rPr>
    </w:lvl>
    <w:lvl w:ilvl="1" w:tplc="04090003">
      <w:start w:val="1"/>
      <w:numFmt w:val="bullet"/>
      <w:lvlText w:val="o"/>
      <w:lvlJc w:val="left"/>
      <w:pPr>
        <w:ind w:left="1620" w:hanging="54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F30E5"/>
    <w:multiLevelType w:val="hybridMultilevel"/>
    <w:tmpl w:val="F57A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7568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1A0D242D"/>
    <w:multiLevelType w:val="hybridMultilevel"/>
    <w:tmpl w:val="F0801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33B6A"/>
    <w:multiLevelType w:val="multilevel"/>
    <w:tmpl w:val="FB2A121E"/>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4F2A77"/>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AC45742"/>
    <w:multiLevelType w:val="hybridMultilevel"/>
    <w:tmpl w:val="172C756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331867B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3D06C6D"/>
    <w:multiLevelType w:val="singleLevel"/>
    <w:tmpl w:val="80B66020"/>
    <w:lvl w:ilvl="0">
      <w:start w:val="1"/>
      <w:numFmt w:val="bullet"/>
      <w:lvlText w:val=""/>
      <w:lvlJc w:val="left"/>
      <w:pPr>
        <w:tabs>
          <w:tab w:val="num" w:pos="360"/>
        </w:tabs>
        <w:ind w:left="360" w:hanging="360"/>
      </w:pPr>
      <w:rPr>
        <w:rFonts w:ascii="Wingdings" w:hAnsi="Wingdings" w:cs="Times New Roman" w:hint="default"/>
        <w:color w:val="000000"/>
      </w:rPr>
    </w:lvl>
  </w:abstractNum>
  <w:abstractNum w:abstractNumId="13" w15:restartNumberingAfterBreak="0">
    <w:nsid w:val="35FF3BF6"/>
    <w:multiLevelType w:val="hybridMultilevel"/>
    <w:tmpl w:val="235281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1B75A1"/>
    <w:multiLevelType w:val="hybridMultilevel"/>
    <w:tmpl w:val="CCAA09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457791"/>
    <w:multiLevelType w:val="hybridMultilevel"/>
    <w:tmpl w:val="A554F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460193"/>
    <w:multiLevelType w:val="hybridMultilevel"/>
    <w:tmpl w:val="180AC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91CC1"/>
    <w:multiLevelType w:val="hybridMultilevel"/>
    <w:tmpl w:val="C494F354"/>
    <w:lvl w:ilvl="0" w:tplc="D48C7D96">
      <w:numFmt w:val="bullet"/>
      <w:lvlText w:val="•"/>
      <w:lvlJc w:val="left"/>
      <w:pPr>
        <w:ind w:left="960" w:hanging="600"/>
      </w:pPr>
      <w:rPr>
        <w:rFonts w:ascii="Calibri" w:eastAsia="Times New Roman" w:hAnsi="Calibri" w:cs="Calibri" w:hint="default"/>
      </w:rPr>
    </w:lvl>
    <w:lvl w:ilvl="1" w:tplc="865C1B9C">
      <w:numFmt w:val="bullet"/>
      <w:lvlText w:val=""/>
      <w:lvlJc w:val="left"/>
      <w:pPr>
        <w:ind w:left="1620" w:hanging="540"/>
      </w:pPr>
      <w:rPr>
        <w:rFonts w:ascii="Symbol" w:eastAsia="Times New Roman" w:hAnsi="Symbol"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7174B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F292A89"/>
    <w:multiLevelType w:val="hybridMultilevel"/>
    <w:tmpl w:val="EDE06948"/>
    <w:lvl w:ilvl="0" w:tplc="04090003">
      <w:start w:val="1"/>
      <w:numFmt w:val="bullet"/>
      <w:lvlText w:val="o"/>
      <w:lvlJc w:val="left"/>
      <w:pPr>
        <w:ind w:left="2304" w:hanging="360"/>
      </w:pPr>
      <w:rPr>
        <w:rFonts w:ascii="Courier New" w:hAnsi="Courier New" w:cs="Courier New"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15:restartNumberingAfterBreak="0">
    <w:nsid w:val="56565E46"/>
    <w:multiLevelType w:val="hybridMultilevel"/>
    <w:tmpl w:val="BF84E21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57D014C3"/>
    <w:multiLevelType w:val="hybridMultilevel"/>
    <w:tmpl w:val="3D3233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A5B10C4"/>
    <w:multiLevelType w:val="hybridMultilevel"/>
    <w:tmpl w:val="DE04E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F3FF6"/>
    <w:multiLevelType w:val="hybridMultilevel"/>
    <w:tmpl w:val="0CF68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D677D"/>
    <w:multiLevelType w:val="hybridMultilevel"/>
    <w:tmpl w:val="0166E9AE"/>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 w15:restartNumberingAfterBreak="0">
    <w:nsid w:val="5E0B0C49"/>
    <w:multiLevelType w:val="hybridMultilevel"/>
    <w:tmpl w:val="D69E2A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FA0471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60FA1003"/>
    <w:multiLevelType w:val="hybridMultilevel"/>
    <w:tmpl w:val="F1A87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C50941"/>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6A3C415F"/>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6B270EC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87B4630"/>
    <w:multiLevelType w:val="hybridMultilevel"/>
    <w:tmpl w:val="C536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B221C6"/>
    <w:multiLevelType w:val="hybridMultilevel"/>
    <w:tmpl w:val="53567020"/>
    <w:lvl w:ilvl="0" w:tplc="D48C7D96">
      <w:numFmt w:val="bullet"/>
      <w:lvlText w:val="•"/>
      <w:lvlJc w:val="left"/>
      <w:pPr>
        <w:ind w:left="1920" w:hanging="600"/>
      </w:pPr>
      <w:rPr>
        <w:rFonts w:ascii="Calibri" w:eastAsia="Times New Roman" w:hAnsi="Calibri" w:cs="Calibri" w:hint="default"/>
      </w:rPr>
    </w:lvl>
    <w:lvl w:ilvl="1" w:tplc="04090003">
      <w:start w:val="1"/>
      <w:numFmt w:val="bullet"/>
      <w:lvlText w:val="o"/>
      <w:lvlJc w:val="left"/>
      <w:pPr>
        <w:ind w:left="2580" w:hanging="54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33" w15:restartNumberingAfterBreak="0">
    <w:nsid w:val="7C063395"/>
    <w:multiLevelType w:val="hybridMultilevel"/>
    <w:tmpl w:val="49CEEB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
  </w:num>
  <w:num w:numId="2">
    <w:abstractNumId w:val="8"/>
  </w:num>
  <w:num w:numId="3">
    <w:abstractNumId w:val="25"/>
  </w:num>
  <w:num w:numId="4">
    <w:abstractNumId w:val="14"/>
  </w:num>
  <w:num w:numId="5">
    <w:abstractNumId w:val="31"/>
  </w:num>
  <w:num w:numId="6">
    <w:abstractNumId w:val="7"/>
  </w:num>
  <w:num w:numId="7">
    <w:abstractNumId w:val="13"/>
  </w:num>
  <w:num w:numId="8">
    <w:abstractNumId w:val="24"/>
  </w:num>
  <w:num w:numId="9">
    <w:abstractNumId w:val="17"/>
  </w:num>
  <w:num w:numId="10">
    <w:abstractNumId w:val="4"/>
  </w:num>
  <w:num w:numId="11">
    <w:abstractNumId w:val="3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6"/>
  </w:num>
  <w:num w:numId="16">
    <w:abstractNumId w:val="27"/>
  </w:num>
  <w:num w:numId="17">
    <w:abstractNumId w:val="12"/>
  </w:num>
  <w:num w:numId="18">
    <w:abstractNumId w:val="32"/>
  </w:num>
  <w:num w:numId="19">
    <w:abstractNumId w:val="33"/>
  </w:num>
  <w:num w:numId="20">
    <w:abstractNumId w:val="10"/>
  </w:num>
  <w:num w:numId="21">
    <w:abstractNumId w:val="20"/>
  </w:num>
  <w:num w:numId="22">
    <w:abstractNumId w:val="5"/>
  </w:num>
  <w:num w:numId="23">
    <w:abstractNumId w:val="6"/>
  </w:num>
  <w:num w:numId="24">
    <w:abstractNumId w:val="9"/>
  </w:num>
  <w:num w:numId="25">
    <w:abstractNumId w:val="30"/>
  </w:num>
  <w:num w:numId="26">
    <w:abstractNumId w:val="26"/>
  </w:num>
  <w:num w:numId="27">
    <w:abstractNumId w:val="28"/>
  </w:num>
  <w:num w:numId="28">
    <w:abstractNumId w:val="11"/>
  </w:num>
  <w:num w:numId="29">
    <w:abstractNumId w:val="18"/>
  </w:num>
  <w:num w:numId="30">
    <w:abstractNumId w:val="29"/>
  </w:num>
  <w:num w:numId="31">
    <w:abstractNumId w:val="19"/>
  </w:num>
  <w:num w:numId="32">
    <w:abstractNumId w:val="23"/>
  </w:num>
  <w:num w:numId="33">
    <w:abstractNumId w:val="0"/>
  </w:num>
  <w:num w:numId="34">
    <w:abstractNumId w:val="22"/>
  </w:num>
  <w:num w:numId="35">
    <w:abstractNumId w:val="1"/>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20DBE"/>
    <w:rsid w:val="00021287"/>
    <w:rsid w:val="00022E47"/>
    <w:rsid w:val="0003177D"/>
    <w:rsid w:val="00034714"/>
    <w:rsid w:val="00034E70"/>
    <w:rsid w:val="000431B3"/>
    <w:rsid w:val="00046546"/>
    <w:rsid w:val="00047D11"/>
    <w:rsid w:val="000527FE"/>
    <w:rsid w:val="000662C0"/>
    <w:rsid w:val="000700EA"/>
    <w:rsid w:val="00074C9C"/>
    <w:rsid w:val="0007561D"/>
    <w:rsid w:val="00081415"/>
    <w:rsid w:val="00086CEE"/>
    <w:rsid w:val="00096AD1"/>
    <w:rsid w:val="00097BFF"/>
    <w:rsid w:val="000B393A"/>
    <w:rsid w:val="000B4FAF"/>
    <w:rsid w:val="000B6E44"/>
    <w:rsid w:val="000B7549"/>
    <w:rsid w:val="000B7D3D"/>
    <w:rsid w:val="000C7543"/>
    <w:rsid w:val="000D6383"/>
    <w:rsid w:val="000D751D"/>
    <w:rsid w:val="000E05F6"/>
    <w:rsid w:val="000E4268"/>
    <w:rsid w:val="000F36F4"/>
    <w:rsid w:val="00103DF3"/>
    <w:rsid w:val="00105383"/>
    <w:rsid w:val="00105BBD"/>
    <w:rsid w:val="001069D0"/>
    <w:rsid w:val="00107F16"/>
    <w:rsid w:val="0011653A"/>
    <w:rsid w:val="00117976"/>
    <w:rsid w:val="00122EBE"/>
    <w:rsid w:val="0012775E"/>
    <w:rsid w:val="00133E8F"/>
    <w:rsid w:val="001420E5"/>
    <w:rsid w:val="00161598"/>
    <w:rsid w:val="00163A8E"/>
    <w:rsid w:val="0017086D"/>
    <w:rsid w:val="001747EB"/>
    <w:rsid w:val="001831B7"/>
    <w:rsid w:val="00183454"/>
    <w:rsid w:val="00195440"/>
    <w:rsid w:val="001A1837"/>
    <w:rsid w:val="001A2F7F"/>
    <w:rsid w:val="001A3F61"/>
    <w:rsid w:val="001B0910"/>
    <w:rsid w:val="001C1F85"/>
    <w:rsid w:val="001C3713"/>
    <w:rsid w:val="001C5021"/>
    <w:rsid w:val="001D4672"/>
    <w:rsid w:val="001D4688"/>
    <w:rsid w:val="001E4381"/>
    <w:rsid w:val="001E694D"/>
    <w:rsid w:val="001F0A08"/>
    <w:rsid w:val="00201BED"/>
    <w:rsid w:val="002116C8"/>
    <w:rsid w:val="002139E2"/>
    <w:rsid w:val="0021511E"/>
    <w:rsid w:val="00216E0F"/>
    <w:rsid w:val="002172C6"/>
    <w:rsid w:val="002177E8"/>
    <w:rsid w:val="00222A88"/>
    <w:rsid w:val="002335C4"/>
    <w:rsid w:val="00242025"/>
    <w:rsid w:val="00245F3D"/>
    <w:rsid w:val="00253C36"/>
    <w:rsid w:val="00254244"/>
    <w:rsid w:val="002621AB"/>
    <w:rsid w:val="0027227D"/>
    <w:rsid w:val="00272B0D"/>
    <w:rsid w:val="0027381C"/>
    <w:rsid w:val="0028070D"/>
    <w:rsid w:val="0028678B"/>
    <w:rsid w:val="00290238"/>
    <w:rsid w:val="00292B34"/>
    <w:rsid w:val="00293293"/>
    <w:rsid w:val="0029421F"/>
    <w:rsid w:val="002964A1"/>
    <w:rsid w:val="00297EBC"/>
    <w:rsid w:val="002B48C6"/>
    <w:rsid w:val="002B5895"/>
    <w:rsid w:val="002B689D"/>
    <w:rsid w:val="002C24C3"/>
    <w:rsid w:val="002C2772"/>
    <w:rsid w:val="002C2D57"/>
    <w:rsid w:val="002C5067"/>
    <w:rsid w:val="002D06CB"/>
    <w:rsid w:val="002D16F0"/>
    <w:rsid w:val="002D395A"/>
    <w:rsid w:val="002E72D3"/>
    <w:rsid w:val="002F3D17"/>
    <w:rsid w:val="002F5F34"/>
    <w:rsid w:val="0030135F"/>
    <w:rsid w:val="00327BF9"/>
    <w:rsid w:val="003347A6"/>
    <w:rsid w:val="00335200"/>
    <w:rsid w:val="00337E6A"/>
    <w:rsid w:val="003421DE"/>
    <w:rsid w:val="003451F7"/>
    <w:rsid w:val="003560B0"/>
    <w:rsid w:val="00360865"/>
    <w:rsid w:val="00382599"/>
    <w:rsid w:val="003831D4"/>
    <w:rsid w:val="003913B6"/>
    <w:rsid w:val="003916C8"/>
    <w:rsid w:val="00394FB3"/>
    <w:rsid w:val="003A46A3"/>
    <w:rsid w:val="003A64F2"/>
    <w:rsid w:val="003B735C"/>
    <w:rsid w:val="003C6044"/>
    <w:rsid w:val="003D1A38"/>
    <w:rsid w:val="003D1D87"/>
    <w:rsid w:val="003D5319"/>
    <w:rsid w:val="003E2502"/>
    <w:rsid w:val="003F02CE"/>
    <w:rsid w:val="003F087C"/>
    <w:rsid w:val="003F39AE"/>
    <w:rsid w:val="003F6E3A"/>
    <w:rsid w:val="003F74AF"/>
    <w:rsid w:val="00406B2A"/>
    <w:rsid w:val="00411026"/>
    <w:rsid w:val="00411514"/>
    <w:rsid w:val="004177E5"/>
    <w:rsid w:val="00426021"/>
    <w:rsid w:val="004278B9"/>
    <w:rsid w:val="004306AA"/>
    <w:rsid w:val="0043095F"/>
    <w:rsid w:val="004326BB"/>
    <w:rsid w:val="00434A5A"/>
    <w:rsid w:val="00437F2C"/>
    <w:rsid w:val="00441187"/>
    <w:rsid w:val="00441944"/>
    <w:rsid w:val="004419D3"/>
    <w:rsid w:val="004423AD"/>
    <w:rsid w:val="00443751"/>
    <w:rsid w:val="00445221"/>
    <w:rsid w:val="00445F96"/>
    <w:rsid w:val="0045096A"/>
    <w:rsid w:val="00460C0C"/>
    <w:rsid w:val="00465911"/>
    <w:rsid w:val="00473E2A"/>
    <w:rsid w:val="004740C2"/>
    <w:rsid w:val="0047546A"/>
    <w:rsid w:val="00482EE8"/>
    <w:rsid w:val="00485E48"/>
    <w:rsid w:val="00491CFD"/>
    <w:rsid w:val="00492B21"/>
    <w:rsid w:val="00493421"/>
    <w:rsid w:val="004A29EF"/>
    <w:rsid w:val="004A51ED"/>
    <w:rsid w:val="004A5839"/>
    <w:rsid w:val="004B51E6"/>
    <w:rsid w:val="004C3B55"/>
    <w:rsid w:val="004C7915"/>
    <w:rsid w:val="004D51F5"/>
    <w:rsid w:val="004D6A91"/>
    <w:rsid w:val="004D7CD2"/>
    <w:rsid w:val="004E0BDF"/>
    <w:rsid w:val="004E5312"/>
    <w:rsid w:val="004E55BC"/>
    <w:rsid w:val="004E6975"/>
    <w:rsid w:val="004E7B97"/>
    <w:rsid w:val="004F4C27"/>
    <w:rsid w:val="004F6780"/>
    <w:rsid w:val="005111E8"/>
    <w:rsid w:val="00514496"/>
    <w:rsid w:val="0051469D"/>
    <w:rsid w:val="00514844"/>
    <w:rsid w:val="00536567"/>
    <w:rsid w:val="00543C52"/>
    <w:rsid w:val="0054619C"/>
    <w:rsid w:val="00552581"/>
    <w:rsid w:val="00552C46"/>
    <w:rsid w:val="00556B3A"/>
    <w:rsid w:val="00560624"/>
    <w:rsid w:val="0056092A"/>
    <w:rsid w:val="00561620"/>
    <w:rsid w:val="00562303"/>
    <w:rsid w:val="00566D7D"/>
    <w:rsid w:val="00581B65"/>
    <w:rsid w:val="00582A35"/>
    <w:rsid w:val="005836B7"/>
    <w:rsid w:val="005907BE"/>
    <w:rsid w:val="005A4B63"/>
    <w:rsid w:val="005B1419"/>
    <w:rsid w:val="005C05E6"/>
    <w:rsid w:val="005D794D"/>
    <w:rsid w:val="005E1060"/>
    <w:rsid w:val="005E40B5"/>
    <w:rsid w:val="005E50FA"/>
    <w:rsid w:val="005E7612"/>
    <w:rsid w:val="005F4D13"/>
    <w:rsid w:val="005F5A80"/>
    <w:rsid w:val="00600D3C"/>
    <w:rsid w:val="00600D91"/>
    <w:rsid w:val="00607B92"/>
    <w:rsid w:val="00610C1E"/>
    <w:rsid w:val="0061177B"/>
    <w:rsid w:val="00613BA8"/>
    <w:rsid w:val="00617B1E"/>
    <w:rsid w:val="0062001F"/>
    <w:rsid w:val="00630984"/>
    <w:rsid w:val="00633B71"/>
    <w:rsid w:val="00636048"/>
    <w:rsid w:val="00645D80"/>
    <w:rsid w:val="00647D1E"/>
    <w:rsid w:val="0065094A"/>
    <w:rsid w:val="0065552B"/>
    <w:rsid w:val="00661728"/>
    <w:rsid w:val="006641E1"/>
    <w:rsid w:val="006650CF"/>
    <w:rsid w:val="00670835"/>
    <w:rsid w:val="00675AE7"/>
    <w:rsid w:val="0068250F"/>
    <w:rsid w:val="006833F2"/>
    <w:rsid w:val="00684F41"/>
    <w:rsid w:val="0068671A"/>
    <w:rsid w:val="00687B54"/>
    <w:rsid w:val="00691167"/>
    <w:rsid w:val="006928CE"/>
    <w:rsid w:val="0069292C"/>
    <w:rsid w:val="00693EE8"/>
    <w:rsid w:val="006A045D"/>
    <w:rsid w:val="006A13FB"/>
    <w:rsid w:val="006A39DE"/>
    <w:rsid w:val="006A4DF1"/>
    <w:rsid w:val="006B31DD"/>
    <w:rsid w:val="006C1416"/>
    <w:rsid w:val="006D30EB"/>
    <w:rsid w:val="006D3176"/>
    <w:rsid w:val="006D6500"/>
    <w:rsid w:val="006E1F4F"/>
    <w:rsid w:val="006F2EFD"/>
    <w:rsid w:val="006F307A"/>
    <w:rsid w:val="006F4516"/>
    <w:rsid w:val="006F5BFB"/>
    <w:rsid w:val="00701D6B"/>
    <w:rsid w:val="00701FB3"/>
    <w:rsid w:val="0070628D"/>
    <w:rsid w:val="00707183"/>
    <w:rsid w:val="00710063"/>
    <w:rsid w:val="00710FE3"/>
    <w:rsid w:val="00730AA4"/>
    <w:rsid w:val="00734151"/>
    <w:rsid w:val="007362A5"/>
    <w:rsid w:val="00741800"/>
    <w:rsid w:val="00755FC2"/>
    <w:rsid w:val="00756319"/>
    <w:rsid w:val="00757279"/>
    <w:rsid w:val="00761962"/>
    <w:rsid w:val="00763B2D"/>
    <w:rsid w:val="00764D7F"/>
    <w:rsid w:val="00765EFC"/>
    <w:rsid w:val="00767273"/>
    <w:rsid w:val="007738AB"/>
    <w:rsid w:val="007935E9"/>
    <w:rsid w:val="007A74CC"/>
    <w:rsid w:val="007B700A"/>
    <w:rsid w:val="007C0936"/>
    <w:rsid w:val="007C24C5"/>
    <w:rsid w:val="007C6E26"/>
    <w:rsid w:val="007C7C2F"/>
    <w:rsid w:val="007D539C"/>
    <w:rsid w:val="007E54EE"/>
    <w:rsid w:val="007F2EBD"/>
    <w:rsid w:val="007F4C43"/>
    <w:rsid w:val="007F542D"/>
    <w:rsid w:val="007F6013"/>
    <w:rsid w:val="00801DD5"/>
    <w:rsid w:val="0080268D"/>
    <w:rsid w:val="0081099D"/>
    <w:rsid w:val="00811A11"/>
    <w:rsid w:val="00834F8D"/>
    <w:rsid w:val="0083527D"/>
    <w:rsid w:val="008360CA"/>
    <w:rsid w:val="0085487D"/>
    <w:rsid w:val="008560BB"/>
    <w:rsid w:val="0086394A"/>
    <w:rsid w:val="00871E40"/>
    <w:rsid w:val="0087651E"/>
    <w:rsid w:val="00883A43"/>
    <w:rsid w:val="008914FB"/>
    <w:rsid w:val="008928A8"/>
    <w:rsid w:val="00892D71"/>
    <w:rsid w:val="0089325D"/>
    <w:rsid w:val="008A1812"/>
    <w:rsid w:val="008A6B98"/>
    <w:rsid w:val="008A7463"/>
    <w:rsid w:val="008B6237"/>
    <w:rsid w:val="008B7049"/>
    <w:rsid w:val="008C1C8C"/>
    <w:rsid w:val="008D4295"/>
    <w:rsid w:val="008E1996"/>
    <w:rsid w:val="008E52FA"/>
    <w:rsid w:val="008F1CA2"/>
    <w:rsid w:val="008F2B84"/>
    <w:rsid w:val="008F55A3"/>
    <w:rsid w:val="008F5679"/>
    <w:rsid w:val="008F7BE9"/>
    <w:rsid w:val="0090179A"/>
    <w:rsid w:val="009044F4"/>
    <w:rsid w:val="00906336"/>
    <w:rsid w:val="00921725"/>
    <w:rsid w:val="00922C74"/>
    <w:rsid w:val="009234C4"/>
    <w:rsid w:val="009250E7"/>
    <w:rsid w:val="00925B22"/>
    <w:rsid w:val="00927466"/>
    <w:rsid w:val="00931613"/>
    <w:rsid w:val="00933AC2"/>
    <w:rsid w:val="009348CB"/>
    <w:rsid w:val="009401A5"/>
    <w:rsid w:val="00940966"/>
    <w:rsid w:val="009479C0"/>
    <w:rsid w:val="00956638"/>
    <w:rsid w:val="00970CE2"/>
    <w:rsid w:val="00971B8E"/>
    <w:rsid w:val="009804B1"/>
    <w:rsid w:val="009818EF"/>
    <w:rsid w:val="00984B71"/>
    <w:rsid w:val="00991AC1"/>
    <w:rsid w:val="009A0502"/>
    <w:rsid w:val="009A2CDD"/>
    <w:rsid w:val="009A392A"/>
    <w:rsid w:val="009C50E3"/>
    <w:rsid w:val="009C5966"/>
    <w:rsid w:val="009C6086"/>
    <w:rsid w:val="009D2F60"/>
    <w:rsid w:val="009D4125"/>
    <w:rsid w:val="009E2261"/>
    <w:rsid w:val="009E4BAF"/>
    <w:rsid w:val="009F04E9"/>
    <w:rsid w:val="009F65C0"/>
    <w:rsid w:val="00A103CE"/>
    <w:rsid w:val="00A11354"/>
    <w:rsid w:val="00A141B5"/>
    <w:rsid w:val="00A1483A"/>
    <w:rsid w:val="00A24C50"/>
    <w:rsid w:val="00A25635"/>
    <w:rsid w:val="00A347D0"/>
    <w:rsid w:val="00A358B5"/>
    <w:rsid w:val="00A376EA"/>
    <w:rsid w:val="00A40087"/>
    <w:rsid w:val="00A4040E"/>
    <w:rsid w:val="00A41668"/>
    <w:rsid w:val="00A44CDC"/>
    <w:rsid w:val="00A45592"/>
    <w:rsid w:val="00A45FF1"/>
    <w:rsid w:val="00A463F3"/>
    <w:rsid w:val="00A52F14"/>
    <w:rsid w:val="00A52F3B"/>
    <w:rsid w:val="00A56EDC"/>
    <w:rsid w:val="00A668CA"/>
    <w:rsid w:val="00A90B6F"/>
    <w:rsid w:val="00A94862"/>
    <w:rsid w:val="00A9790D"/>
    <w:rsid w:val="00AA19A4"/>
    <w:rsid w:val="00AA2D76"/>
    <w:rsid w:val="00AB00FB"/>
    <w:rsid w:val="00AB0A68"/>
    <w:rsid w:val="00AC3519"/>
    <w:rsid w:val="00AD442F"/>
    <w:rsid w:val="00AD5546"/>
    <w:rsid w:val="00AF0CF5"/>
    <w:rsid w:val="00AF5F48"/>
    <w:rsid w:val="00B01BED"/>
    <w:rsid w:val="00B10463"/>
    <w:rsid w:val="00B148D3"/>
    <w:rsid w:val="00B50E59"/>
    <w:rsid w:val="00B53EFE"/>
    <w:rsid w:val="00B569C3"/>
    <w:rsid w:val="00B573F4"/>
    <w:rsid w:val="00B634D3"/>
    <w:rsid w:val="00B743D3"/>
    <w:rsid w:val="00B75E5E"/>
    <w:rsid w:val="00B77935"/>
    <w:rsid w:val="00B839BD"/>
    <w:rsid w:val="00B84910"/>
    <w:rsid w:val="00B86347"/>
    <w:rsid w:val="00B91C9A"/>
    <w:rsid w:val="00B963E2"/>
    <w:rsid w:val="00BA04D3"/>
    <w:rsid w:val="00BA099F"/>
    <w:rsid w:val="00BA0DDE"/>
    <w:rsid w:val="00BA1872"/>
    <w:rsid w:val="00BB3A6D"/>
    <w:rsid w:val="00BB560B"/>
    <w:rsid w:val="00BC0FAC"/>
    <w:rsid w:val="00BD0387"/>
    <w:rsid w:val="00BD7F08"/>
    <w:rsid w:val="00BE0ECB"/>
    <w:rsid w:val="00BE46A0"/>
    <w:rsid w:val="00C05B95"/>
    <w:rsid w:val="00C10685"/>
    <w:rsid w:val="00C16611"/>
    <w:rsid w:val="00C2076F"/>
    <w:rsid w:val="00C22871"/>
    <w:rsid w:val="00C24332"/>
    <w:rsid w:val="00C27568"/>
    <w:rsid w:val="00C30BED"/>
    <w:rsid w:val="00C37E7A"/>
    <w:rsid w:val="00C442AC"/>
    <w:rsid w:val="00C4785B"/>
    <w:rsid w:val="00C51CDB"/>
    <w:rsid w:val="00C572FA"/>
    <w:rsid w:val="00C57C25"/>
    <w:rsid w:val="00C604A3"/>
    <w:rsid w:val="00C64AAB"/>
    <w:rsid w:val="00C80882"/>
    <w:rsid w:val="00C93722"/>
    <w:rsid w:val="00CB2887"/>
    <w:rsid w:val="00CB5418"/>
    <w:rsid w:val="00CB6272"/>
    <w:rsid w:val="00CB62BF"/>
    <w:rsid w:val="00CD1B16"/>
    <w:rsid w:val="00CE0E69"/>
    <w:rsid w:val="00CE15AF"/>
    <w:rsid w:val="00CE6FFF"/>
    <w:rsid w:val="00CF7FAA"/>
    <w:rsid w:val="00D03CBF"/>
    <w:rsid w:val="00D07269"/>
    <w:rsid w:val="00D07B79"/>
    <w:rsid w:val="00D13B96"/>
    <w:rsid w:val="00D1565E"/>
    <w:rsid w:val="00D15A88"/>
    <w:rsid w:val="00D170DB"/>
    <w:rsid w:val="00D20A20"/>
    <w:rsid w:val="00D22814"/>
    <w:rsid w:val="00D33478"/>
    <w:rsid w:val="00D36B99"/>
    <w:rsid w:val="00D36C60"/>
    <w:rsid w:val="00D40F30"/>
    <w:rsid w:val="00D4463E"/>
    <w:rsid w:val="00D5691F"/>
    <w:rsid w:val="00D722E3"/>
    <w:rsid w:val="00D8275B"/>
    <w:rsid w:val="00D836ED"/>
    <w:rsid w:val="00D85C1A"/>
    <w:rsid w:val="00D969EE"/>
    <w:rsid w:val="00DA4903"/>
    <w:rsid w:val="00DB110F"/>
    <w:rsid w:val="00DB1E12"/>
    <w:rsid w:val="00DB3BB3"/>
    <w:rsid w:val="00DC2D44"/>
    <w:rsid w:val="00DD4A7A"/>
    <w:rsid w:val="00DD6F68"/>
    <w:rsid w:val="00DF3355"/>
    <w:rsid w:val="00DF4E9A"/>
    <w:rsid w:val="00DF5626"/>
    <w:rsid w:val="00DF626C"/>
    <w:rsid w:val="00E167CC"/>
    <w:rsid w:val="00E247C9"/>
    <w:rsid w:val="00E35E54"/>
    <w:rsid w:val="00E41CEA"/>
    <w:rsid w:val="00E44CD4"/>
    <w:rsid w:val="00E46B81"/>
    <w:rsid w:val="00E53469"/>
    <w:rsid w:val="00E54E18"/>
    <w:rsid w:val="00E60868"/>
    <w:rsid w:val="00E610A0"/>
    <w:rsid w:val="00E61EE2"/>
    <w:rsid w:val="00E63EFC"/>
    <w:rsid w:val="00E71787"/>
    <w:rsid w:val="00E71F19"/>
    <w:rsid w:val="00E73613"/>
    <w:rsid w:val="00E778A0"/>
    <w:rsid w:val="00E821DA"/>
    <w:rsid w:val="00E91488"/>
    <w:rsid w:val="00E94327"/>
    <w:rsid w:val="00EA1082"/>
    <w:rsid w:val="00EA5B21"/>
    <w:rsid w:val="00EB6C0B"/>
    <w:rsid w:val="00EC65B8"/>
    <w:rsid w:val="00ED14B9"/>
    <w:rsid w:val="00EF2F95"/>
    <w:rsid w:val="00EF64EE"/>
    <w:rsid w:val="00F02DF0"/>
    <w:rsid w:val="00F03A83"/>
    <w:rsid w:val="00F0648C"/>
    <w:rsid w:val="00F1173E"/>
    <w:rsid w:val="00F1422F"/>
    <w:rsid w:val="00F15805"/>
    <w:rsid w:val="00F16E90"/>
    <w:rsid w:val="00F17D2B"/>
    <w:rsid w:val="00F236C0"/>
    <w:rsid w:val="00F31903"/>
    <w:rsid w:val="00F35817"/>
    <w:rsid w:val="00F42527"/>
    <w:rsid w:val="00F44FAF"/>
    <w:rsid w:val="00F462BA"/>
    <w:rsid w:val="00F52E1D"/>
    <w:rsid w:val="00F5498B"/>
    <w:rsid w:val="00F6554C"/>
    <w:rsid w:val="00F72EDC"/>
    <w:rsid w:val="00F74623"/>
    <w:rsid w:val="00F816B4"/>
    <w:rsid w:val="00F83EDA"/>
    <w:rsid w:val="00F85247"/>
    <w:rsid w:val="00F955BD"/>
    <w:rsid w:val="00FA03B6"/>
    <w:rsid w:val="00FA11EC"/>
    <w:rsid w:val="00FA4F9A"/>
    <w:rsid w:val="00FA75E0"/>
    <w:rsid w:val="00FB0918"/>
    <w:rsid w:val="00FB34F9"/>
    <w:rsid w:val="00FB45DA"/>
    <w:rsid w:val="00FB6322"/>
    <w:rsid w:val="00FC24FC"/>
    <w:rsid w:val="00FC3512"/>
    <w:rsid w:val="00FC6917"/>
    <w:rsid w:val="00FD01B3"/>
    <w:rsid w:val="00FD062C"/>
    <w:rsid w:val="00FD2F4F"/>
    <w:rsid w:val="00FD7A63"/>
    <w:rsid w:val="00FE387B"/>
    <w:rsid w:val="00FE6135"/>
    <w:rsid w:val="00FF0229"/>
    <w:rsid w:val="00FF02CA"/>
    <w:rsid w:val="00FF03D7"/>
    <w:rsid w:val="07740AB2"/>
    <w:rsid w:val="0A03BF9F"/>
    <w:rsid w:val="0A97A9EA"/>
    <w:rsid w:val="0D919076"/>
    <w:rsid w:val="2AB73364"/>
    <w:rsid w:val="382F55B2"/>
    <w:rsid w:val="3CBCDE5A"/>
    <w:rsid w:val="43BE7468"/>
    <w:rsid w:val="470F8DF7"/>
    <w:rsid w:val="567BB99B"/>
    <w:rsid w:val="7D23C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FE8E9"/>
  <w15:docId w15:val="{79B74778-E819-4581-9448-69E67E2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2F95"/>
    <w:pPr>
      <w:keepNext/>
      <w:keepLines/>
      <w:numPr>
        <w:ilvl w:val="2"/>
        <w:numId w:val="2"/>
      </w:numPr>
      <w:spacing w:before="120" w:after="1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semiHidden/>
    <w:unhideWhenUsed/>
    <w:qFormat/>
    <w:rsid w:val="00B10463"/>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3BB3"/>
    <w:pPr>
      <w:tabs>
        <w:tab w:val="center" w:pos="4680"/>
        <w:tab w:val="right" w:pos="9360"/>
      </w:tabs>
    </w:pPr>
  </w:style>
  <w:style w:type="character" w:customStyle="1" w:styleId="HeaderChar">
    <w:name w:val="Header Char"/>
    <w:basedOn w:val="DefaultParagraphFont"/>
    <w:link w:val="Header"/>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EF2F95"/>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semiHidden/>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character" w:customStyle="1" w:styleId="gt-icon-text1">
    <w:name w:val="gt-icon-text1"/>
    <w:rsid w:val="008928A8"/>
  </w:style>
  <w:style w:type="paragraph" w:customStyle="1" w:styleId="Default">
    <w:name w:val="Default"/>
    <w:rsid w:val="008928A8"/>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190">
      <w:bodyDiv w:val="1"/>
      <w:marLeft w:val="0"/>
      <w:marRight w:val="0"/>
      <w:marTop w:val="0"/>
      <w:marBottom w:val="0"/>
      <w:divBdr>
        <w:top w:val="none" w:sz="0" w:space="0" w:color="auto"/>
        <w:left w:val="none" w:sz="0" w:space="0" w:color="auto"/>
        <w:bottom w:val="none" w:sz="0" w:space="0" w:color="auto"/>
        <w:right w:val="none" w:sz="0" w:space="0" w:color="auto"/>
      </w:divBdr>
    </w:div>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278145009">
      <w:bodyDiv w:val="1"/>
      <w:marLeft w:val="0"/>
      <w:marRight w:val="0"/>
      <w:marTop w:val="0"/>
      <w:marBottom w:val="0"/>
      <w:divBdr>
        <w:top w:val="none" w:sz="0" w:space="0" w:color="auto"/>
        <w:left w:val="none" w:sz="0" w:space="0" w:color="auto"/>
        <w:bottom w:val="none" w:sz="0" w:space="0" w:color="auto"/>
        <w:right w:val="none" w:sz="0" w:space="0" w:color="auto"/>
      </w:divBdr>
    </w:div>
    <w:div w:id="517037333">
      <w:bodyDiv w:val="1"/>
      <w:marLeft w:val="0"/>
      <w:marRight w:val="0"/>
      <w:marTop w:val="0"/>
      <w:marBottom w:val="0"/>
      <w:divBdr>
        <w:top w:val="none" w:sz="0" w:space="0" w:color="auto"/>
        <w:left w:val="none" w:sz="0" w:space="0" w:color="auto"/>
        <w:bottom w:val="none" w:sz="0" w:space="0" w:color="auto"/>
        <w:right w:val="none" w:sz="0" w:space="0" w:color="auto"/>
      </w:divBdr>
    </w:div>
    <w:div w:id="952857884">
      <w:bodyDiv w:val="1"/>
      <w:marLeft w:val="0"/>
      <w:marRight w:val="0"/>
      <w:marTop w:val="0"/>
      <w:marBottom w:val="0"/>
      <w:divBdr>
        <w:top w:val="none" w:sz="0" w:space="0" w:color="auto"/>
        <w:left w:val="none" w:sz="0" w:space="0" w:color="auto"/>
        <w:bottom w:val="none" w:sz="0" w:space="0" w:color="auto"/>
        <w:right w:val="none" w:sz="0" w:space="0" w:color="auto"/>
      </w:divBdr>
    </w:div>
    <w:div w:id="1174416341">
      <w:bodyDiv w:val="1"/>
      <w:marLeft w:val="0"/>
      <w:marRight w:val="0"/>
      <w:marTop w:val="0"/>
      <w:marBottom w:val="0"/>
      <w:divBdr>
        <w:top w:val="none" w:sz="0" w:space="0" w:color="auto"/>
        <w:left w:val="none" w:sz="0" w:space="0" w:color="auto"/>
        <w:bottom w:val="none" w:sz="0" w:space="0" w:color="auto"/>
        <w:right w:val="none" w:sz="0" w:space="0" w:color="auto"/>
      </w:divBdr>
    </w:div>
    <w:div w:id="1284457275">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1854491151">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88c4eeeb-c7a7-4cfc-af87-ae14b8503d05">SOP</DocumentType>
    <Approved_x0020_By xmlns="88c4eeeb-c7a7-4cfc-af87-ae14b8503d05">
      <UserInfo>
        <DisplayName/>
        <AccountId xsi:nil="true"/>
        <AccountType/>
      </UserInfo>
    </Approved_x0020_By>
    <Doc_x0020_Number xmlns="88c4eeeb-c7a7-4cfc-af87-ae14b8503d05" xsi:nil="true"/>
    <Rev_x0020_Date xmlns="88c4eeeb-c7a7-4cfc-af87-ae14b8503d05" xsi:nil="true"/>
    <Author0 xmlns="88c4eeeb-c7a7-4cfc-af87-ae14b8503d05">
      <UserInfo>
        <DisplayName/>
        <AccountId xsi:nil="true"/>
        <AccountType/>
      </UserInfo>
    </Author0>
    <Origin_x0020_Date xmlns="88c4eeeb-c7a7-4cfc-af87-ae14b8503d05" xsi:nil="true"/>
    <Rev_x0020_Level xmlns="88c4eeeb-c7a7-4cfc-af87-ae14b8503d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C82F-2EB5-462B-9B5C-B4514E70833A}">
  <ds:schemaRefs>
    <ds:schemaRef ds:uri="http://purl.org/dc/terms/"/>
    <ds:schemaRef ds:uri="http://purl.org/dc/elements/1.1/"/>
    <ds:schemaRef ds:uri="http://purl.org/dc/dcmitype/"/>
    <ds:schemaRef ds:uri="http://schemas.openxmlformats.org/package/2006/metadata/core-properties"/>
    <ds:schemaRef ds:uri="8ac18f64-d0f1-428a-bacb-e8e9bc2f4f2b"/>
    <ds:schemaRef ds:uri="http://schemas.microsoft.com/office/infopath/2007/PartnerControls"/>
    <ds:schemaRef ds:uri="http://schemas.microsoft.com/office/2006/documentManagement/types"/>
    <ds:schemaRef ds:uri="88c4eeeb-c7a7-4cfc-af87-ae14b8503d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38126A-2A0A-4C0D-9CDD-BF5E75A02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1C68D-2D06-41FD-BD3B-413BD82E728A}">
  <ds:schemaRefs>
    <ds:schemaRef ds:uri="http://schemas.microsoft.com/sharepoint/v3/contenttype/forms"/>
  </ds:schemaRefs>
</ds:datastoreItem>
</file>

<file path=customXml/itemProps4.xml><?xml version="1.0" encoding="utf-8"?>
<ds:datastoreItem xmlns:ds="http://schemas.openxmlformats.org/officeDocument/2006/customXml" ds:itemID="{4504E1FA-F485-4753-AE7A-9D895475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Links>
    <vt:vector size="12" baseType="variant">
      <vt:variant>
        <vt:i4>2162735</vt:i4>
      </vt:variant>
      <vt:variant>
        <vt:i4>3</vt:i4>
      </vt:variant>
      <vt:variant>
        <vt:i4>0</vt:i4>
      </vt:variant>
      <vt:variant>
        <vt:i4>5</vt:i4>
      </vt:variant>
      <vt:variant>
        <vt:lpwstr>https://clemson.sharepoint.com/teams/SafetySteeringCommitee/Shared Documents/Safety System Documents/Revised Policy/F-050-EIC Staff QEW Qualification.docx</vt:lpwstr>
      </vt:variant>
      <vt:variant>
        <vt:lpwstr/>
      </vt:variant>
      <vt:variant>
        <vt:i4>7209005</vt:i4>
      </vt:variant>
      <vt:variant>
        <vt:i4>0</vt:i4>
      </vt:variant>
      <vt:variant>
        <vt:i4>0</vt:i4>
      </vt:variant>
      <vt:variant>
        <vt:i4>5</vt:i4>
      </vt:variant>
      <vt:variant>
        <vt:lpwstr>https://clemson.sharepoint.com/teams/SafetySteeringCommitee/Shared Documents/Safety System Documents/Revised Policy/F-053-EIC SAFE Conversation Checklist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Kivett</dc:creator>
  <cp:lastModifiedBy>Kurt Rayburg</cp:lastModifiedBy>
  <cp:revision>2</cp:revision>
  <cp:lastPrinted>2014-01-20T03:10:00Z</cp:lastPrinted>
  <dcterms:created xsi:type="dcterms:W3CDTF">2022-12-01T14:39:00Z</dcterms:created>
  <dcterms:modified xsi:type="dcterms:W3CDTF">2022-12-01T14:39:00Z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Comments">
    <vt:lpwstr>Revision A approved by the SSC</vt:lpwstr>
  </property>
  <property fmtid="{D5CDD505-2E9C-101B-9397-08002B2CF9AE}" pid="7" name="ComplianceAssetId">
    <vt:lpwstr/>
  </property>
  <property fmtid="{D5CDD505-2E9C-101B-9397-08002B2CF9AE}" pid="8" name="TemplateUrl">
    <vt:lpwstr/>
  </property>
</Properties>
</file>